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76ECE" w14:textId="77777777" w:rsidR="0094713B" w:rsidRPr="0094713B" w:rsidRDefault="0094713B" w:rsidP="0094713B">
      <w:pPr>
        <w:keepNext/>
        <w:keepLines/>
        <w:spacing w:before="240"/>
        <w:ind w:left="432" w:hanging="432"/>
        <w:outlineLvl w:val="0"/>
        <w:rPr>
          <w:rFonts w:ascii="Georgia" w:eastAsiaTheme="majorEastAsia" w:hAnsi="Georgia" w:cstheme="majorBidi"/>
          <w:bCs/>
          <w:color w:val="514A4F"/>
          <w:sz w:val="32"/>
          <w:szCs w:val="32"/>
          <w:lang w:val="en-NZ"/>
        </w:rPr>
      </w:pPr>
      <w:bookmarkStart w:id="0" w:name="_GoBack"/>
      <w:bookmarkEnd w:id="0"/>
      <w:r w:rsidRPr="0094713B">
        <w:rPr>
          <w:rFonts w:ascii="Arial" w:eastAsiaTheme="majorEastAsia" w:hAnsi="Arial" w:cs="Arial"/>
          <w:bCs/>
          <w:noProof/>
          <w:color w:val="514A4F"/>
          <w:sz w:val="40"/>
          <w:szCs w:val="40"/>
          <w:lang w:val="en-NZ" w:eastAsia="en-NZ"/>
        </w:rPr>
        <w:drawing>
          <wp:anchor distT="0" distB="0" distL="114300" distR="114300" simplePos="0" relativeHeight="251659264" behindDoc="1" locked="0" layoutInCell="1" allowOverlap="1" wp14:anchorId="187B8497" wp14:editId="559A53F2">
            <wp:simplePos x="0" y="0"/>
            <wp:positionH relativeFrom="column">
              <wp:posOffset>-327606</wp:posOffset>
            </wp:positionH>
            <wp:positionV relativeFrom="paragraph">
              <wp:posOffset>-701903</wp:posOffset>
            </wp:positionV>
            <wp:extent cx="3224678" cy="1258215"/>
            <wp:effectExtent l="0" t="0" r="0" b="0"/>
            <wp:wrapNone/>
            <wp:docPr id="1" name="Picture 1" descr="TEC-Right_Align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Right_Aligned-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4678" cy="1258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28072" w14:textId="77777777" w:rsidR="0094713B" w:rsidRPr="0094713B" w:rsidRDefault="0094713B" w:rsidP="0094713B">
      <w:pPr>
        <w:keepNext/>
        <w:keepLines/>
        <w:spacing w:before="240"/>
        <w:ind w:left="432" w:hanging="432"/>
        <w:outlineLvl w:val="0"/>
        <w:rPr>
          <w:rFonts w:ascii="Georgia" w:eastAsiaTheme="majorEastAsia" w:hAnsi="Georgia" w:cstheme="majorBidi"/>
          <w:bCs/>
          <w:color w:val="514A4F"/>
          <w:sz w:val="32"/>
          <w:szCs w:val="32"/>
          <w:lang w:val="en-NZ"/>
        </w:rPr>
      </w:pPr>
    </w:p>
    <w:p w14:paraId="4AE66450" w14:textId="4C29215F" w:rsidR="0094713B" w:rsidRPr="0094713B" w:rsidRDefault="00211B6C" w:rsidP="0094713B">
      <w:pPr>
        <w:keepNext/>
        <w:keepLines/>
        <w:spacing w:before="240"/>
        <w:ind w:left="432" w:hanging="432"/>
        <w:outlineLvl w:val="0"/>
        <w:rPr>
          <w:rFonts w:ascii="Georgia" w:eastAsiaTheme="majorEastAsia" w:hAnsi="Georgia" w:cstheme="majorBidi"/>
          <w:bCs/>
          <w:color w:val="514A4F"/>
          <w:sz w:val="32"/>
          <w:szCs w:val="32"/>
          <w:lang w:val="en-NZ"/>
        </w:rPr>
      </w:pPr>
      <w:r>
        <w:rPr>
          <w:rFonts w:ascii="Georgia" w:eastAsiaTheme="majorEastAsia" w:hAnsi="Georgia" w:cstheme="majorBidi"/>
          <w:bCs/>
          <w:color w:val="514A4F"/>
          <w:sz w:val="32"/>
          <w:szCs w:val="32"/>
          <w:lang w:val="en-NZ"/>
        </w:rPr>
        <w:t xml:space="preserve">Summary of planned shifts </w:t>
      </w:r>
      <w:r w:rsidR="00F752DA">
        <w:rPr>
          <w:rFonts w:ascii="Georgia" w:eastAsiaTheme="majorEastAsia" w:hAnsi="Georgia" w:cstheme="majorBidi"/>
          <w:bCs/>
          <w:color w:val="514A4F"/>
          <w:sz w:val="32"/>
          <w:szCs w:val="32"/>
          <w:lang w:val="en-NZ"/>
        </w:rPr>
        <w:t xml:space="preserve">in </w:t>
      </w:r>
      <w:r>
        <w:rPr>
          <w:rFonts w:ascii="Georgia" w:eastAsiaTheme="majorEastAsia" w:hAnsi="Georgia" w:cstheme="majorBidi"/>
          <w:bCs/>
          <w:color w:val="514A4F"/>
          <w:sz w:val="32"/>
          <w:szCs w:val="32"/>
          <w:lang w:val="en-NZ"/>
        </w:rPr>
        <w:t>your 2020-2022 Investment Plan</w:t>
      </w:r>
    </w:p>
    <w:p w14:paraId="03A3352C" w14:textId="77777777" w:rsidR="0094713B" w:rsidRPr="0094713B" w:rsidRDefault="0094713B" w:rsidP="0094713B">
      <w:pPr>
        <w:keepNext/>
        <w:keepLines/>
        <w:pBdr>
          <w:top w:val="single" w:sz="4" w:space="1" w:color="auto"/>
          <w:left w:val="single" w:sz="4" w:space="4" w:color="auto"/>
          <w:bottom w:val="single" w:sz="4" w:space="1" w:color="auto"/>
          <w:right w:val="single" w:sz="4" w:space="4" w:color="auto"/>
        </w:pBdr>
        <w:spacing w:before="240"/>
        <w:ind w:left="576" w:hanging="576"/>
        <w:outlineLvl w:val="1"/>
        <w:rPr>
          <w:rFonts w:ascii="Calibri" w:eastAsiaTheme="majorEastAsia" w:hAnsi="Calibri" w:cstheme="majorBidi"/>
          <w:bCs/>
          <w:color w:val="514A4F"/>
          <w:sz w:val="26"/>
          <w:szCs w:val="26"/>
        </w:rPr>
      </w:pPr>
      <w:r w:rsidRPr="0094713B">
        <w:rPr>
          <w:rFonts w:ascii="Calibri" w:eastAsiaTheme="majorEastAsia" w:hAnsi="Calibri" w:cstheme="majorBidi"/>
          <w:bCs/>
          <w:color w:val="514A4F"/>
          <w:sz w:val="26"/>
          <w:szCs w:val="26"/>
        </w:rPr>
        <w:t xml:space="preserve">Instructions for filling in this template </w:t>
      </w:r>
    </w:p>
    <w:p w14:paraId="273B7FE0" w14:textId="77777777" w:rsidR="0094713B" w:rsidRPr="0094713B" w:rsidRDefault="0094713B" w:rsidP="0094713B">
      <w:pPr>
        <w:pBdr>
          <w:top w:val="single" w:sz="4" w:space="1" w:color="auto"/>
          <w:left w:val="single" w:sz="4" w:space="4" w:color="auto"/>
          <w:bottom w:val="single" w:sz="4" w:space="1" w:color="auto"/>
          <w:right w:val="single" w:sz="4" w:space="4" w:color="auto"/>
        </w:pBdr>
        <w:spacing w:before="60" w:after="60" w:line="264" w:lineRule="auto"/>
        <w:rPr>
          <w:b/>
          <w:sz w:val="22"/>
          <w:szCs w:val="22"/>
        </w:rPr>
      </w:pPr>
    </w:p>
    <w:p w14:paraId="30A57244" w14:textId="77777777" w:rsidR="0094713B" w:rsidRPr="009078EA" w:rsidRDefault="0094713B" w:rsidP="0094713B">
      <w:pPr>
        <w:pBdr>
          <w:top w:val="single" w:sz="4" w:space="1" w:color="auto"/>
          <w:left w:val="single" w:sz="4" w:space="4" w:color="auto"/>
          <w:bottom w:val="single" w:sz="4" w:space="1" w:color="auto"/>
          <w:right w:val="single" w:sz="4" w:space="4" w:color="auto"/>
        </w:pBdr>
        <w:spacing w:before="60" w:after="60" w:line="264" w:lineRule="auto"/>
        <w:rPr>
          <w:b/>
          <w:sz w:val="24"/>
          <w:szCs w:val="24"/>
        </w:rPr>
      </w:pPr>
      <w:r w:rsidRPr="009078EA">
        <w:rPr>
          <w:b/>
          <w:sz w:val="24"/>
          <w:szCs w:val="24"/>
        </w:rPr>
        <w:t xml:space="preserve">What is this? </w:t>
      </w:r>
    </w:p>
    <w:p w14:paraId="561D75E4" w14:textId="40049C13" w:rsidR="0094713B" w:rsidRPr="009078EA" w:rsidRDefault="0094713B" w:rsidP="0094713B">
      <w:pPr>
        <w:pBdr>
          <w:top w:val="single" w:sz="4" w:space="1" w:color="auto"/>
          <w:left w:val="single" w:sz="4" w:space="4" w:color="auto"/>
          <w:bottom w:val="single" w:sz="4" w:space="1" w:color="auto"/>
          <w:right w:val="single" w:sz="4" w:space="4" w:color="auto"/>
        </w:pBdr>
        <w:spacing w:before="60" w:after="60" w:line="264" w:lineRule="auto"/>
        <w:rPr>
          <w:sz w:val="24"/>
          <w:szCs w:val="24"/>
        </w:rPr>
      </w:pPr>
      <w:r w:rsidRPr="009078EA">
        <w:rPr>
          <w:sz w:val="24"/>
          <w:szCs w:val="24"/>
        </w:rPr>
        <w:t>This is a n</w:t>
      </w:r>
      <w:r w:rsidR="00211B6C" w:rsidRPr="009078EA">
        <w:rPr>
          <w:sz w:val="24"/>
          <w:szCs w:val="24"/>
        </w:rPr>
        <w:t>ew template required for the 2020</w:t>
      </w:r>
      <w:r w:rsidRPr="009078EA">
        <w:rPr>
          <w:sz w:val="24"/>
          <w:szCs w:val="24"/>
        </w:rPr>
        <w:t>-20</w:t>
      </w:r>
      <w:r w:rsidR="00211B6C" w:rsidRPr="009078EA">
        <w:rPr>
          <w:sz w:val="24"/>
          <w:szCs w:val="24"/>
        </w:rPr>
        <w:t>22</w:t>
      </w:r>
      <w:r w:rsidRPr="009078EA">
        <w:rPr>
          <w:sz w:val="24"/>
          <w:szCs w:val="24"/>
        </w:rPr>
        <w:t xml:space="preserve"> Investment Plan process.</w:t>
      </w:r>
      <w:r w:rsidR="00211B6C" w:rsidRPr="009078EA">
        <w:rPr>
          <w:sz w:val="24"/>
          <w:szCs w:val="24"/>
        </w:rPr>
        <w:t xml:space="preserve"> </w:t>
      </w:r>
      <w:r w:rsidRPr="009078EA">
        <w:rPr>
          <w:sz w:val="24"/>
          <w:szCs w:val="24"/>
        </w:rPr>
        <w:t xml:space="preserve"> </w:t>
      </w:r>
      <w:r w:rsidR="0061653C">
        <w:rPr>
          <w:sz w:val="24"/>
          <w:szCs w:val="24"/>
        </w:rPr>
        <w:t>It</w:t>
      </w:r>
      <w:r w:rsidR="0061653C" w:rsidRPr="00857FD7">
        <w:rPr>
          <w:sz w:val="24"/>
          <w:szCs w:val="24"/>
        </w:rPr>
        <w:t xml:space="preserve"> replaces the requirement to submit a draft Plan</w:t>
      </w:r>
      <w:r w:rsidR="0061653C">
        <w:rPr>
          <w:sz w:val="24"/>
          <w:szCs w:val="24"/>
        </w:rPr>
        <w:t>.</w:t>
      </w:r>
    </w:p>
    <w:p w14:paraId="732CC11A" w14:textId="64445E63" w:rsidR="00FB0CE5" w:rsidRDefault="00A57601" w:rsidP="002028F7">
      <w:pPr>
        <w:pBdr>
          <w:top w:val="single" w:sz="4" w:space="1" w:color="auto"/>
          <w:left w:val="single" w:sz="4" w:space="4" w:color="auto"/>
          <w:bottom w:val="single" w:sz="4" w:space="1" w:color="auto"/>
          <w:right w:val="single" w:sz="4" w:space="4" w:color="auto"/>
        </w:pBdr>
        <w:spacing w:before="60" w:after="60" w:line="264" w:lineRule="auto"/>
        <w:ind w:left="0" w:firstLine="0"/>
        <w:rPr>
          <w:sz w:val="24"/>
          <w:szCs w:val="24"/>
        </w:rPr>
      </w:pPr>
      <w:r w:rsidRPr="009078EA">
        <w:rPr>
          <w:sz w:val="24"/>
          <w:szCs w:val="24"/>
        </w:rPr>
        <w:t>Th</w:t>
      </w:r>
      <w:r>
        <w:rPr>
          <w:sz w:val="24"/>
          <w:szCs w:val="24"/>
        </w:rPr>
        <w:t>e</w:t>
      </w:r>
      <w:r w:rsidRPr="009078EA">
        <w:rPr>
          <w:sz w:val="24"/>
          <w:szCs w:val="24"/>
        </w:rPr>
        <w:t xml:space="preserve"> </w:t>
      </w:r>
      <w:r w:rsidR="0094713B" w:rsidRPr="009078EA">
        <w:rPr>
          <w:sz w:val="24"/>
          <w:szCs w:val="24"/>
        </w:rPr>
        <w:t>template is designed to</w:t>
      </w:r>
      <w:r w:rsidR="00644D2E" w:rsidRPr="009078EA">
        <w:rPr>
          <w:sz w:val="24"/>
          <w:szCs w:val="24"/>
        </w:rPr>
        <w:t xml:space="preserve"> support</w:t>
      </w:r>
      <w:r w:rsidR="00F752DA">
        <w:rPr>
          <w:sz w:val="24"/>
          <w:szCs w:val="24"/>
        </w:rPr>
        <w:t xml:space="preserve"> Investment</w:t>
      </w:r>
      <w:r w:rsidR="00644D2E" w:rsidRPr="009078EA">
        <w:rPr>
          <w:sz w:val="24"/>
          <w:szCs w:val="24"/>
        </w:rPr>
        <w:t xml:space="preserve"> Plan </w:t>
      </w:r>
      <w:r w:rsidR="00F752DA">
        <w:rPr>
          <w:sz w:val="24"/>
          <w:szCs w:val="24"/>
        </w:rPr>
        <w:t xml:space="preserve">(Plan) </w:t>
      </w:r>
      <w:r w:rsidR="00644D2E" w:rsidRPr="009078EA">
        <w:rPr>
          <w:sz w:val="24"/>
          <w:szCs w:val="24"/>
        </w:rPr>
        <w:t>en</w:t>
      </w:r>
      <w:r w:rsidR="003C5E11">
        <w:rPr>
          <w:sz w:val="24"/>
          <w:szCs w:val="24"/>
        </w:rPr>
        <w:t>g</w:t>
      </w:r>
      <w:r w:rsidR="00644D2E" w:rsidRPr="009078EA">
        <w:rPr>
          <w:sz w:val="24"/>
          <w:szCs w:val="24"/>
        </w:rPr>
        <w:t>agement by</w:t>
      </w:r>
      <w:r w:rsidR="0094713B" w:rsidRPr="009078EA">
        <w:rPr>
          <w:sz w:val="24"/>
          <w:szCs w:val="24"/>
        </w:rPr>
        <w:t xml:space="preserve"> captur</w:t>
      </w:r>
      <w:r w:rsidR="00644D2E" w:rsidRPr="009078EA">
        <w:rPr>
          <w:sz w:val="24"/>
          <w:szCs w:val="24"/>
        </w:rPr>
        <w:t xml:space="preserve">ing </w:t>
      </w:r>
      <w:r w:rsidR="00F752DA">
        <w:rPr>
          <w:sz w:val="24"/>
          <w:szCs w:val="24"/>
        </w:rPr>
        <w:t xml:space="preserve">the </w:t>
      </w:r>
      <w:r w:rsidR="00644D2E" w:rsidRPr="009078EA">
        <w:rPr>
          <w:sz w:val="24"/>
          <w:szCs w:val="24"/>
        </w:rPr>
        <w:t>high</w:t>
      </w:r>
      <w:r w:rsidR="00F752DA">
        <w:rPr>
          <w:sz w:val="24"/>
          <w:szCs w:val="24"/>
        </w:rPr>
        <w:t>-</w:t>
      </w:r>
      <w:r w:rsidR="00644D2E" w:rsidRPr="009078EA">
        <w:rPr>
          <w:sz w:val="24"/>
          <w:szCs w:val="24"/>
        </w:rPr>
        <w:t>level</w:t>
      </w:r>
      <w:r w:rsidR="00211B6C" w:rsidRPr="009078EA">
        <w:rPr>
          <w:sz w:val="24"/>
          <w:szCs w:val="24"/>
        </w:rPr>
        <w:t xml:space="preserve"> </w:t>
      </w:r>
      <w:r w:rsidR="00FB0CE5">
        <w:rPr>
          <w:sz w:val="24"/>
          <w:szCs w:val="24"/>
        </w:rPr>
        <w:t xml:space="preserve">shifts you propose to make </w:t>
      </w:r>
      <w:r w:rsidR="0094713B" w:rsidRPr="009078EA">
        <w:rPr>
          <w:sz w:val="24"/>
          <w:szCs w:val="24"/>
        </w:rPr>
        <w:t xml:space="preserve">in response to the </w:t>
      </w:r>
      <w:r w:rsidR="00211B6C" w:rsidRPr="009078EA">
        <w:rPr>
          <w:sz w:val="24"/>
          <w:szCs w:val="24"/>
        </w:rPr>
        <w:t>government’s priorities</w:t>
      </w:r>
      <w:r w:rsidR="00FB0CE5">
        <w:rPr>
          <w:sz w:val="24"/>
          <w:szCs w:val="24"/>
        </w:rPr>
        <w:t xml:space="preserve">. </w:t>
      </w:r>
      <w:r>
        <w:rPr>
          <w:sz w:val="24"/>
          <w:szCs w:val="24"/>
        </w:rPr>
        <w:t>This will enable us to have early discussions on key strategic areas as you develop your Plan.</w:t>
      </w:r>
    </w:p>
    <w:p w14:paraId="434087D7" w14:textId="26DCC859" w:rsidR="0094713B" w:rsidRPr="009078EA" w:rsidRDefault="00FB0CE5" w:rsidP="002028F7">
      <w:pPr>
        <w:pBdr>
          <w:top w:val="single" w:sz="4" w:space="1" w:color="auto"/>
          <w:left w:val="single" w:sz="4" w:space="4" w:color="auto"/>
          <w:bottom w:val="single" w:sz="4" w:space="1" w:color="auto"/>
          <w:right w:val="single" w:sz="4" w:space="4" w:color="auto"/>
        </w:pBdr>
        <w:spacing w:before="60" w:after="60" w:line="264" w:lineRule="auto"/>
        <w:ind w:left="0" w:firstLine="0"/>
        <w:rPr>
          <w:sz w:val="24"/>
          <w:szCs w:val="24"/>
        </w:rPr>
      </w:pPr>
      <w:r>
        <w:rPr>
          <w:sz w:val="24"/>
          <w:szCs w:val="24"/>
        </w:rPr>
        <w:t>Please refer to the</w:t>
      </w:r>
      <w:r w:rsidR="00211B6C" w:rsidRPr="009078EA">
        <w:rPr>
          <w:sz w:val="24"/>
          <w:szCs w:val="24"/>
        </w:rPr>
        <w:t xml:space="preserve"> </w:t>
      </w:r>
      <w:hyperlink r:id="rId14" w:history="1">
        <w:r w:rsidRPr="009078EA">
          <w:rPr>
            <w:color w:val="0000FF" w:themeColor="hyperlink"/>
            <w:sz w:val="24"/>
            <w:szCs w:val="24"/>
            <w:u w:val="single"/>
          </w:rPr>
          <w:t>Tertiary Education Strategy 2014-2019</w:t>
        </w:r>
      </w:hyperlink>
      <w:r w:rsidR="00211B6C" w:rsidRPr="009078EA">
        <w:rPr>
          <w:sz w:val="24"/>
          <w:szCs w:val="24"/>
        </w:rPr>
        <w:t xml:space="preserve">, </w:t>
      </w:r>
      <w:hyperlink r:id="rId15" w:history="1">
        <w:r w:rsidRPr="009078EA">
          <w:rPr>
            <w:rStyle w:val="Hyperlink"/>
            <w:sz w:val="24"/>
            <w:szCs w:val="24"/>
          </w:rPr>
          <w:t>Plan Guidance for 2020</w:t>
        </w:r>
      </w:hyperlink>
      <w:r w:rsidR="00211B6C" w:rsidRPr="009078EA">
        <w:rPr>
          <w:sz w:val="24"/>
          <w:szCs w:val="24"/>
        </w:rPr>
        <w:t>,</w:t>
      </w:r>
      <w:r>
        <w:rPr>
          <w:sz w:val="24"/>
          <w:szCs w:val="24"/>
        </w:rPr>
        <w:t xml:space="preserve"> and</w:t>
      </w:r>
      <w:r w:rsidR="00211B6C" w:rsidRPr="009078EA">
        <w:rPr>
          <w:sz w:val="24"/>
          <w:szCs w:val="24"/>
        </w:rPr>
        <w:t xml:space="preserve"> </w:t>
      </w:r>
      <w:r>
        <w:rPr>
          <w:sz w:val="24"/>
          <w:szCs w:val="24"/>
        </w:rPr>
        <w:t xml:space="preserve">the </w:t>
      </w:r>
      <w:r w:rsidR="00211B6C" w:rsidRPr="009078EA">
        <w:rPr>
          <w:sz w:val="24"/>
          <w:szCs w:val="24"/>
        </w:rPr>
        <w:t>Investment Briefs and Focus Area Briefs</w:t>
      </w:r>
      <w:r>
        <w:rPr>
          <w:sz w:val="24"/>
          <w:szCs w:val="24"/>
        </w:rPr>
        <w:t xml:space="preserve"> in the </w:t>
      </w:r>
      <w:hyperlink r:id="rId16" w:history="1">
        <w:r w:rsidRPr="009078EA">
          <w:rPr>
            <w:rStyle w:val="Hyperlink"/>
            <w:sz w:val="24"/>
            <w:szCs w:val="24"/>
          </w:rPr>
          <w:t>Investment Toolkit</w:t>
        </w:r>
      </w:hyperlink>
      <w:r>
        <w:rPr>
          <w:sz w:val="24"/>
          <w:szCs w:val="24"/>
        </w:rPr>
        <w:t xml:space="preserve"> for more information about </w:t>
      </w:r>
      <w:r w:rsidRPr="009078EA">
        <w:rPr>
          <w:sz w:val="24"/>
          <w:szCs w:val="24"/>
        </w:rPr>
        <w:t>the government’s priorities</w:t>
      </w:r>
      <w:r>
        <w:rPr>
          <w:sz w:val="24"/>
          <w:szCs w:val="24"/>
        </w:rPr>
        <w:t>.</w:t>
      </w:r>
      <w:r w:rsidR="0094713B" w:rsidRPr="009078EA">
        <w:rPr>
          <w:sz w:val="24"/>
          <w:szCs w:val="24"/>
        </w:rPr>
        <w:t xml:space="preserve"> </w:t>
      </w:r>
    </w:p>
    <w:p w14:paraId="55BBBDF7" w14:textId="77777777" w:rsidR="0094713B" w:rsidRPr="009078EA" w:rsidRDefault="0094713B" w:rsidP="0094713B">
      <w:pPr>
        <w:pBdr>
          <w:top w:val="single" w:sz="4" w:space="1" w:color="auto"/>
          <w:left w:val="single" w:sz="4" w:space="4" w:color="auto"/>
          <w:bottom w:val="single" w:sz="4" w:space="1" w:color="auto"/>
          <w:right w:val="single" w:sz="4" w:space="4" w:color="auto"/>
        </w:pBdr>
        <w:spacing w:before="60" w:after="60" w:line="264" w:lineRule="auto"/>
        <w:rPr>
          <w:b/>
          <w:sz w:val="24"/>
          <w:szCs w:val="24"/>
        </w:rPr>
      </w:pPr>
    </w:p>
    <w:p w14:paraId="1E7385D3" w14:textId="77777777" w:rsidR="0094713B" w:rsidRPr="009078EA" w:rsidRDefault="0094713B" w:rsidP="0094713B">
      <w:pPr>
        <w:pBdr>
          <w:top w:val="single" w:sz="4" w:space="1" w:color="auto"/>
          <w:left w:val="single" w:sz="4" w:space="4" w:color="auto"/>
          <w:bottom w:val="single" w:sz="4" w:space="1" w:color="auto"/>
          <w:right w:val="single" w:sz="4" w:space="4" w:color="auto"/>
        </w:pBdr>
        <w:spacing w:before="60" w:after="60" w:line="264" w:lineRule="auto"/>
        <w:rPr>
          <w:b/>
          <w:sz w:val="24"/>
          <w:szCs w:val="24"/>
        </w:rPr>
      </w:pPr>
      <w:r w:rsidRPr="009078EA">
        <w:rPr>
          <w:b/>
          <w:sz w:val="24"/>
          <w:szCs w:val="24"/>
        </w:rPr>
        <w:t xml:space="preserve">Who needs to complete this? </w:t>
      </w:r>
    </w:p>
    <w:p w14:paraId="50E1A201" w14:textId="61D023FF" w:rsidR="0094713B" w:rsidRPr="009078EA" w:rsidRDefault="0094713B" w:rsidP="0094713B">
      <w:pPr>
        <w:pBdr>
          <w:top w:val="single" w:sz="4" w:space="1" w:color="auto"/>
          <w:left w:val="single" w:sz="4" w:space="4" w:color="auto"/>
          <w:bottom w:val="single" w:sz="4" w:space="1" w:color="auto"/>
          <w:right w:val="single" w:sz="4" w:space="4" w:color="auto"/>
        </w:pBdr>
        <w:spacing w:before="60" w:after="60" w:line="480" w:lineRule="auto"/>
        <w:rPr>
          <w:sz w:val="24"/>
          <w:szCs w:val="24"/>
        </w:rPr>
      </w:pPr>
      <w:r w:rsidRPr="009078EA">
        <w:rPr>
          <w:sz w:val="24"/>
          <w:szCs w:val="24"/>
        </w:rPr>
        <w:t>You are required to complete this if you are</w:t>
      </w:r>
      <w:r w:rsidR="00FA49C0">
        <w:rPr>
          <w:sz w:val="24"/>
          <w:szCs w:val="24"/>
        </w:rPr>
        <w:t>:</w:t>
      </w:r>
      <w:r w:rsidRPr="009078EA">
        <w:rPr>
          <w:sz w:val="24"/>
          <w:szCs w:val="24"/>
        </w:rPr>
        <w:t xml:space="preserve"> a tertiary education institution</w:t>
      </w:r>
      <w:r w:rsidR="00FA49C0">
        <w:rPr>
          <w:sz w:val="24"/>
          <w:szCs w:val="24"/>
        </w:rPr>
        <w:t>;</w:t>
      </w:r>
      <w:r w:rsidR="00211B6C" w:rsidRPr="009078EA">
        <w:rPr>
          <w:sz w:val="24"/>
          <w:szCs w:val="24"/>
        </w:rPr>
        <w:t xml:space="preserve"> </w:t>
      </w:r>
      <w:r w:rsidR="00FA49C0">
        <w:rPr>
          <w:sz w:val="24"/>
          <w:szCs w:val="24"/>
        </w:rPr>
        <w:t xml:space="preserve">an </w:t>
      </w:r>
      <w:r w:rsidR="002028F7" w:rsidRPr="009078EA">
        <w:rPr>
          <w:sz w:val="24"/>
          <w:szCs w:val="24"/>
        </w:rPr>
        <w:t>i</w:t>
      </w:r>
      <w:r w:rsidR="00211B6C" w:rsidRPr="009078EA">
        <w:rPr>
          <w:sz w:val="24"/>
          <w:szCs w:val="24"/>
        </w:rPr>
        <w:t xml:space="preserve">ndustry </w:t>
      </w:r>
      <w:r w:rsidR="002028F7" w:rsidRPr="009078EA">
        <w:rPr>
          <w:sz w:val="24"/>
          <w:szCs w:val="24"/>
        </w:rPr>
        <w:t>t</w:t>
      </w:r>
      <w:r w:rsidR="00211B6C" w:rsidRPr="009078EA">
        <w:rPr>
          <w:sz w:val="24"/>
          <w:szCs w:val="24"/>
        </w:rPr>
        <w:t xml:space="preserve">raining </w:t>
      </w:r>
      <w:r w:rsidR="00FA49C0">
        <w:rPr>
          <w:sz w:val="24"/>
          <w:szCs w:val="24"/>
        </w:rPr>
        <w:t>organization;</w:t>
      </w:r>
      <w:r w:rsidR="00873089" w:rsidRPr="009078EA">
        <w:rPr>
          <w:sz w:val="24"/>
          <w:szCs w:val="24"/>
        </w:rPr>
        <w:t xml:space="preserve"> or a</w:t>
      </w:r>
      <w:r w:rsidRPr="009078EA">
        <w:rPr>
          <w:sz w:val="24"/>
          <w:szCs w:val="24"/>
        </w:rPr>
        <w:t xml:space="preserve"> private training establishment</w:t>
      </w:r>
      <w:r w:rsidR="00FA49C0">
        <w:rPr>
          <w:sz w:val="24"/>
          <w:szCs w:val="24"/>
        </w:rPr>
        <w:t xml:space="preserve"> that was</w:t>
      </w:r>
      <w:r w:rsidR="00873089" w:rsidRPr="009078EA">
        <w:rPr>
          <w:sz w:val="24"/>
          <w:szCs w:val="24"/>
        </w:rPr>
        <w:t xml:space="preserve"> in receipt of more than $5 million of TEC funding in 2018</w:t>
      </w:r>
      <w:r w:rsidRPr="009078EA">
        <w:rPr>
          <w:sz w:val="24"/>
          <w:szCs w:val="24"/>
        </w:rPr>
        <w:t xml:space="preserve">. </w:t>
      </w:r>
    </w:p>
    <w:p w14:paraId="7B10DC99" w14:textId="77777777" w:rsidR="0094713B" w:rsidRPr="009078EA" w:rsidRDefault="0094713B" w:rsidP="0094713B">
      <w:pPr>
        <w:pBdr>
          <w:top w:val="single" w:sz="4" w:space="1" w:color="auto"/>
          <w:left w:val="single" w:sz="4" w:space="4" w:color="auto"/>
          <w:bottom w:val="single" w:sz="4" w:space="1" w:color="auto"/>
          <w:right w:val="single" w:sz="4" w:space="4" w:color="auto"/>
        </w:pBdr>
        <w:spacing w:before="60" w:after="60" w:line="264" w:lineRule="auto"/>
        <w:rPr>
          <w:b/>
          <w:sz w:val="24"/>
          <w:szCs w:val="24"/>
        </w:rPr>
      </w:pPr>
      <w:r w:rsidRPr="009078EA">
        <w:rPr>
          <w:b/>
          <w:sz w:val="24"/>
          <w:szCs w:val="24"/>
        </w:rPr>
        <w:t xml:space="preserve">How to complete this template? </w:t>
      </w:r>
    </w:p>
    <w:p w14:paraId="170E1A86" w14:textId="3ED8D170" w:rsidR="002028F7" w:rsidRPr="009078EA" w:rsidRDefault="002028F7" w:rsidP="0094713B">
      <w:pPr>
        <w:pBdr>
          <w:top w:val="single" w:sz="4" w:space="1" w:color="auto"/>
          <w:left w:val="single" w:sz="4" w:space="4" w:color="auto"/>
          <w:bottom w:val="single" w:sz="4" w:space="1" w:color="auto"/>
          <w:right w:val="single" w:sz="4" w:space="4" w:color="auto"/>
        </w:pBdr>
        <w:spacing w:before="60" w:after="60" w:line="264" w:lineRule="auto"/>
        <w:rPr>
          <w:sz w:val="24"/>
          <w:szCs w:val="24"/>
        </w:rPr>
      </w:pPr>
      <w:r w:rsidRPr="009078EA">
        <w:rPr>
          <w:sz w:val="24"/>
          <w:szCs w:val="24"/>
        </w:rPr>
        <w:t xml:space="preserve">Some examples of the type of content this template is designed </w:t>
      </w:r>
      <w:r w:rsidR="000A4F07" w:rsidRPr="009078EA">
        <w:rPr>
          <w:sz w:val="24"/>
          <w:szCs w:val="24"/>
        </w:rPr>
        <w:t>for are included. Please delete these as you complete the template.</w:t>
      </w:r>
    </w:p>
    <w:p w14:paraId="00C1805B" w14:textId="2AEEFA64" w:rsidR="0094713B" w:rsidRPr="009078EA" w:rsidRDefault="0094713B" w:rsidP="0094713B">
      <w:pPr>
        <w:pBdr>
          <w:top w:val="single" w:sz="4" w:space="1" w:color="auto"/>
          <w:left w:val="single" w:sz="4" w:space="4" w:color="auto"/>
          <w:bottom w:val="single" w:sz="4" w:space="1" w:color="auto"/>
          <w:right w:val="single" w:sz="4" w:space="4" w:color="auto"/>
        </w:pBdr>
        <w:spacing w:before="60" w:after="60" w:line="264" w:lineRule="auto"/>
        <w:rPr>
          <w:sz w:val="24"/>
          <w:szCs w:val="24"/>
        </w:rPr>
      </w:pPr>
      <w:r w:rsidRPr="009078EA">
        <w:rPr>
          <w:sz w:val="24"/>
          <w:szCs w:val="24"/>
        </w:rPr>
        <w:t>This template must be submitted using the document upload function in Workspace 2</w:t>
      </w:r>
      <w:r w:rsidR="00211B6C" w:rsidRPr="009078EA">
        <w:rPr>
          <w:sz w:val="24"/>
          <w:szCs w:val="24"/>
        </w:rPr>
        <w:t xml:space="preserve"> by 3</w:t>
      </w:r>
      <w:r w:rsidR="002028F7" w:rsidRPr="009078EA">
        <w:rPr>
          <w:sz w:val="24"/>
          <w:szCs w:val="24"/>
        </w:rPr>
        <w:t>0</w:t>
      </w:r>
      <w:r w:rsidR="00211B6C" w:rsidRPr="009078EA">
        <w:rPr>
          <w:sz w:val="24"/>
          <w:szCs w:val="24"/>
        </w:rPr>
        <w:t xml:space="preserve"> April 2019</w:t>
      </w:r>
      <w:r w:rsidRPr="009078EA">
        <w:rPr>
          <w:sz w:val="24"/>
          <w:szCs w:val="24"/>
        </w:rPr>
        <w:t>.</w:t>
      </w:r>
    </w:p>
    <w:p w14:paraId="1A65E4D9" w14:textId="77777777" w:rsidR="0094713B" w:rsidRPr="009078EA" w:rsidRDefault="0094713B" w:rsidP="0094713B">
      <w:pPr>
        <w:pBdr>
          <w:top w:val="single" w:sz="4" w:space="1" w:color="auto"/>
          <w:left w:val="single" w:sz="4" w:space="4" w:color="auto"/>
          <w:bottom w:val="single" w:sz="4" w:space="1" w:color="auto"/>
          <w:right w:val="single" w:sz="4" w:space="4" w:color="auto"/>
        </w:pBdr>
        <w:spacing w:before="60" w:after="60" w:line="264" w:lineRule="auto"/>
        <w:rPr>
          <w:sz w:val="24"/>
          <w:szCs w:val="24"/>
        </w:rPr>
      </w:pPr>
    </w:p>
    <w:p w14:paraId="52091EBE" w14:textId="77777777" w:rsidR="0094713B" w:rsidRPr="009078EA" w:rsidRDefault="0094713B" w:rsidP="0094713B">
      <w:pPr>
        <w:pBdr>
          <w:top w:val="single" w:sz="4" w:space="1" w:color="auto"/>
          <w:left w:val="single" w:sz="4" w:space="4" w:color="auto"/>
          <w:bottom w:val="single" w:sz="4" w:space="1" w:color="auto"/>
          <w:right w:val="single" w:sz="4" w:space="4" w:color="auto"/>
        </w:pBdr>
        <w:spacing w:before="60" w:after="60" w:line="264" w:lineRule="auto"/>
        <w:rPr>
          <w:b/>
          <w:sz w:val="24"/>
          <w:szCs w:val="24"/>
        </w:rPr>
      </w:pPr>
      <w:r w:rsidRPr="009078EA">
        <w:rPr>
          <w:b/>
          <w:sz w:val="24"/>
          <w:szCs w:val="24"/>
        </w:rPr>
        <w:t xml:space="preserve">What else do you need to know? </w:t>
      </w:r>
    </w:p>
    <w:p w14:paraId="06D6C3BC" w14:textId="276F7E34" w:rsidR="00D15BCA" w:rsidRPr="009078EA" w:rsidRDefault="0094713B" w:rsidP="002028F7">
      <w:pPr>
        <w:pBdr>
          <w:top w:val="single" w:sz="4" w:space="1" w:color="auto"/>
          <w:left w:val="single" w:sz="4" w:space="4" w:color="auto"/>
          <w:bottom w:val="single" w:sz="4" w:space="1" w:color="auto"/>
          <w:right w:val="single" w:sz="4" w:space="4" w:color="auto"/>
        </w:pBdr>
        <w:spacing w:before="60" w:after="60"/>
        <w:ind w:left="0" w:firstLine="0"/>
        <w:rPr>
          <w:sz w:val="24"/>
          <w:szCs w:val="24"/>
        </w:rPr>
      </w:pPr>
      <w:r w:rsidRPr="009078EA">
        <w:rPr>
          <w:sz w:val="24"/>
          <w:szCs w:val="24"/>
        </w:rPr>
        <w:t xml:space="preserve">Your </w:t>
      </w:r>
      <w:r w:rsidR="00211B6C" w:rsidRPr="009078EA">
        <w:rPr>
          <w:sz w:val="24"/>
          <w:szCs w:val="24"/>
        </w:rPr>
        <w:t>Relationship</w:t>
      </w:r>
      <w:r w:rsidRPr="009078EA">
        <w:rPr>
          <w:sz w:val="24"/>
          <w:szCs w:val="24"/>
        </w:rPr>
        <w:t xml:space="preserve"> Manager will discuss this template with you as part of </w:t>
      </w:r>
      <w:r w:rsidR="00FB0CE5">
        <w:rPr>
          <w:sz w:val="24"/>
          <w:szCs w:val="24"/>
        </w:rPr>
        <w:t xml:space="preserve">our </w:t>
      </w:r>
      <w:r w:rsidRPr="009078EA">
        <w:rPr>
          <w:sz w:val="24"/>
          <w:szCs w:val="24"/>
        </w:rPr>
        <w:t>engagement</w:t>
      </w:r>
      <w:r w:rsidR="00FB0CE5">
        <w:rPr>
          <w:sz w:val="24"/>
          <w:szCs w:val="24"/>
        </w:rPr>
        <w:t xml:space="preserve"> </w:t>
      </w:r>
      <w:r w:rsidR="00FB0CE5" w:rsidRPr="009078EA">
        <w:rPr>
          <w:sz w:val="24"/>
          <w:szCs w:val="24"/>
        </w:rPr>
        <w:t>over your Plan</w:t>
      </w:r>
      <w:r w:rsidR="00FB0CE5">
        <w:rPr>
          <w:sz w:val="24"/>
          <w:szCs w:val="24"/>
        </w:rPr>
        <w:t xml:space="preserve"> </w:t>
      </w:r>
      <w:r w:rsidR="00FB0CE5" w:rsidRPr="009078EA">
        <w:rPr>
          <w:sz w:val="24"/>
          <w:szCs w:val="24"/>
        </w:rPr>
        <w:t>for 2020-2022</w:t>
      </w:r>
      <w:r w:rsidRPr="009078EA">
        <w:rPr>
          <w:sz w:val="24"/>
          <w:szCs w:val="24"/>
        </w:rPr>
        <w:t xml:space="preserve">. </w:t>
      </w:r>
    </w:p>
    <w:p w14:paraId="1C3D3526" w14:textId="77777777" w:rsidR="00FB0CE5" w:rsidRDefault="00FB0CE5" w:rsidP="0094713B">
      <w:pPr>
        <w:pBdr>
          <w:top w:val="single" w:sz="4" w:space="1" w:color="auto"/>
          <w:left w:val="single" w:sz="4" w:space="4" w:color="auto"/>
          <w:bottom w:val="single" w:sz="4" w:space="1" w:color="auto"/>
          <w:right w:val="single" w:sz="4" w:space="4" w:color="auto"/>
        </w:pBdr>
        <w:spacing w:before="60" w:after="60" w:line="264" w:lineRule="auto"/>
        <w:rPr>
          <w:b/>
          <w:sz w:val="24"/>
          <w:szCs w:val="24"/>
        </w:rPr>
      </w:pPr>
    </w:p>
    <w:p w14:paraId="25A1514F" w14:textId="77777777" w:rsidR="0094713B" w:rsidRDefault="0094713B" w:rsidP="0094713B">
      <w:pPr>
        <w:pBdr>
          <w:top w:val="single" w:sz="4" w:space="1" w:color="auto"/>
          <w:left w:val="single" w:sz="4" w:space="4" w:color="auto"/>
          <w:bottom w:val="single" w:sz="4" w:space="1" w:color="auto"/>
          <w:right w:val="single" w:sz="4" w:space="4" w:color="auto"/>
        </w:pBdr>
        <w:spacing w:before="60" w:after="60" w:line="264" w:lineRule="auto"/>
        <w:rPr>
          <w:b/>
          <w:sz w:val="24"/>
          <w:szCs w:val="24"/>
        </w:rPr>
      </w:pPr>
      <w:r w:rsidRPr="009078EA">
        <w:rPr>
          <w:b/>
          <w:sz w:val="24"/>
          <w:szCs w:val="24"/>
        </w:rPr>
        <w:t xml:space="preserve">Key notes: </w:t>
      </w:r>
    </w:p>
    <w:p w14:paraId="311D11F4" w14:textId="0EC7AE66" w:rsidR="00857FD7" w:rsidRPr="00857FD7" w:rsidRDefault="00857FD7" w:rsidP="00857FD7">
      <w:pPr>
        <w:pBdr>
          <w:top w:val="single" w:sz="4" w:space="1" w:color="auto"/>
          <w:left w:val="single" w:sz="4" w:space="4" w:color="auto"/>
          <w:bottom w:val="single" w:sz="4" w:space="1" w:color="auto"/>
          <w:right w:val="single" w:sz="4" w:space="4" w:color="auto"/>
        </w:pBdr>
        <w:spacing w:before="60" w:after="60" w:line="264" w:lineRule="auto"/>
        <w:rPr>
          <w:sz w:val="24"/>
          <w:szCs w:val="24"/>
        </w:rPr>
      </w:pPr>
      <w:r w:rsidRPr="00857FD7">
        <w:rPr>
          <w:sz w:val="24"/>
          <w:szCs w:val="24"/>
        </w:rPr>
        <w:t>•</w:t>
      </w:r>
      <w:r w:rsidRPr="00857FD7">
        <w:rPr>
          <w:sz w:val="24"/>
          <w:szCs w:val="24"/>
        </w:rPr>
        <w:tab/>
        <w:t xml:space="preserve">This template replaces the requirement to submit a draft Plan. </w:t>
      </w:r>
      <w:r w:rsidR="003C5E11">
        <w:rPr>
          <w:sz w:val="24"/>
          <w:szCs w:val="24"/>
        </w:rPr>
        <w:t>Ple</w:t>
      </w:r>
      <w:r w:rsidR="00730B6F">
        <w:rPr>
          <w:sz w:val="24"/>
          <w:szCs w:val="24"/>
        </w:rPr>
        <w:t>a</w:t>
      </w:r>
      <w:r w:rsidR="003C5E11">
        <w:rPr>
          <w:sz w:val="24"/>
          <w:szCs w:val="24"/>
        </w:rPr>
        <w:t>se talk</w:t>
      </w:r>
      <w:r w:rsidR="00730B6F">
        <w:rPr>
          <w:sz w:val="24"/>
          <w:szCs w:val="24"/>
        </w:rPr>
        <w:t xml:space="preserve"> </w:t>
      </w:r>
      <w:r w:rsidR="003C5E11">
        <w:rPr>
          <w:sz w:val="24"/>
          <w:szCs w:val="24"/>
        </w:rPr>
        <w:t xml:space="preserve">to your Relationship Manager if you wish to submit a </w:t>
      </w:r>
      <w:r w:rsidR="00730B6F">
        <w:rPr>
          <w:sz w:val="24"/>
          <w:szCs w:val="24"/>
        </w:rPr>
        <w:t xml:space="preserve">full </w:t>
      </w:r>
      <w:r w:rsidR="003C5E11">
        <w:rPr>
          <w:sz w:val="24"/>
          <w:szCs w:val="24"/>
        </w:rPr>
        <w:t>draft Plan instead.</w:t>
      </w:r>
    </w:p>
    <w:p w14:paraId="434692FC" w14:textId="7B4959A5" w:rsidR="00857FD7" w:rsidRPr="00857FD7" w:rsidRDefault="00857FD7" w:rsidP="00857FD7">
      <w:pPr>
        <w:pBdr>
          <w:top w:val="single" w:sz="4" w:space="1" w:color="auto"/>
          <w:left w:val="single" w:sz="4" w:space="4" w:color="auto"/>
          <w:bottom w:val="single" w:sz="4" w:space="1" w:color="auto"/>
          <w:right w:val="single" w:sz="4" w:space="4" w:color="auto"/>
        </w:pBdr>
        <w:spacing w:before="60" w:after="60" w:line="264" w:lineRule="auto"/>
        <w:rPr>
          <w:sz w:val="24"/>
          <w:szCs w:val="24"/>
        </w:rPr>
      </w:pPr>
      <w:r w:rsidRPr="00857FD7">
        <w:rPr>
          <w:sz w:val="24"/>
          <w:szCs w:val="24"/>
        </w:rPr>
        <w:t>•</w:t>
      </w:r>
      <w:r w:rsidRPr="00857FD7">
        <w:rPr>
          <w:sz w:val="24"/>
          <w:szCs w:val="24"/>
        </w:rPr>
        <w:tab/>
        <w:t>The template does not form part of your Plan. It should provide a high-level indication of, and be consistent with, the more significant proposed shifts and initiatives that you subsequently present in more detail in your Plan. You do not need to detail every proposed change you intend to make.</w:t>
      </w:r>
    </w:p>
    <w:p w14:paraId="0581A31E" w14:textId="77BD3C0D" w:rsidR="00857FD7" w:rsidRPr="00857FD7" w:rsidRDefault="00857FD7" w:rsidP="00857FD7">
      <w:pPr>
        <w:pBdr>
          <w:top w:val="single" w:sz="4" w:space="1" w:color="auto"/>
          <w:left w:val="single" w:sz="4" w:space="4" w:color="auto"/>
          <w:bottom w:val="single" w:sz="4" w:space="1" w:color="auto"/>
          <w:right w:val="single" w:sz="4" w:space="4" w:color="auto"/>
        </w:pBdr>
        <w:spacing w:before="60" w:after="60" w:line="264" w:lineRule="auto"/>
        <w:rPr>
          <w:sz w:val="24"/>
          <w:szCs w:val="24"/>
        </w:rPr>
      </w:pPr>
      <w:r w:rsidRPr="00857FD7">
        <w:rPr>
          <w:sz w:val="24"/>
          <w:szCs w:val="24"/>
        </w:rPr>
        <w:t>•</w:t>
      </w:r>
      <w:r w:rsidRPr="00857FD7">
        <w:rPr>
          <w:sz w:val="24"/>
          <w:szCs w:val="24"/>
        </w:rPr>
        <w:tab/>
        <w:t xml:space="preserve">The document has a simple format, to </w:t>
      </w:r>
      <w:r w:rsidR="00E0521C">
        <w:rPr>
          <w:sz w:val="24"/>
          <w:szCs w:val="24"/>
        </w:rPr>
        <w:t>encourage you</w:t>
      </w:r>
      <w:r w:rsidR="00E0521C" w:rsidRPr="00857FD7">
        <w:rPr>
          <w:sz w:val="24"/>
          <w:szCs w:val="24"/>
        </w:rPr>
        <w:t xml:space="preserve"> </w:t>
      </w:r>
      <w:r w:rsidRPr="00857FD7">
        <w:rPr>
          <w:sz w:val="24"/>
          <w:szCs w:val="24"/>
        </w:rPr>
        <w:t xml:space="preserve">to give a concise summary of the </w:t>
      </w:r>
      <w:r w:rsidR="00FB0CE5">
        <w:rPr>
          <w:sz w:val="24"/>
          <w:szCs w:val="24"/>
        </w:rPr>
        <w:t xml:space="preserve">most significant </w:t>
      </w:r>
      <w:r w:rsidRPr="00857FD7">
        <w:rPr>
          <w:sz w:val="24"/>
          <w:szCs w:val="24"/>
        </w:rPr>
        <w:t xml:space="preserve">shifts that </w:t>
      </w:r>
      <w:r w:rsidR="00E0521C">
        <w:rPr>
          <w:sz w:val="24"/>
          <w:szCs w:val="24"/>
        </w:rPr>
        <w:t>you are planning</w:t>
      </w:r>
      <w:r w:rsidRPr="00857FD7">
        <w:rPr>
          <w:sz w:val="24"/>
          <w:szCs w:val="24"/>
        </w:rPr>
        <w:t xml:space="preserve"> and the</w:t>
      </w:r>
      <w:r w:rsidR="00E0521C">
        <w:rPr>
          <w:sz w:val="24"/>
          <w:szCs w:val="24"/>
        </w:rPr>
        <w:t xml:space="preserve"> expected</w:t>
      </w:r>
      <w:r w:rsidRPr="00857FD7">
        <w:rPr>
          <w:sz w:val="24"/>
          <w:szCs w:val="24"/>
        </w:rPr>
        <w:t xml:space="preserve"> impact </w:t>
      </w:r>
      <w:r w:rsidR="00E0521C">
        <w:rPr>
          <w:sz w:val="24"/>
          <w:szCs w:val="24"/>
        </w:rPr>
        <w:t xml:space="preserve">on </w:t>
      </w:r>
      <w:r w:rsidR="00E0521C" w:rsidRPr="00857FD7">
        <w:rPr>
          <w:sz w:val="24"/>
          <w:szCs w:val="24"/>
        </w:rPr>
        <w:t>government priorities</w:t>
      </w:r>
      <w:r w:rsidRPr="00857FD7">
        <w:rPr>
          <w:sz w:val="24"/>
          <w:szCs w:val="24"/>
        </w:rPr>
        <w:t>.</w:t>
      </w:r>
    </w:p>
    <w:p w14:paraId="595B7A02" w14:textId="28FB5F9B" w:rsidR="00857FD7" w:rsidRPr="00857FD7" w:rsidRDefault="00857FD7" w:rsidP="00857FD7">
      <w:pPr>
        <w:pBdr>
          <w:top w:val="single" w:sz="4" w:space="1" w:color="auto"/>
          <w:left w:val="single" w:sz="4" w:space="4" w:color="auto"/>
          <w:bottom w:val="single" w:sz="4" w:space="1" w:color="auto"/>
          <w:right w:val="single" w:sz="4" w:space="4" w:color="auto"/>
        </w:pBdr>
        <w:spacing w:before="60" w:after="60" w:line="264" w:lineRule="auto"/>
        <w:rPr>
          <w:sz w:val="24"/>
          <w:szCs w:val="24"/>
        </w:rPr>
      </w:pPr>
      <w:r w:rsidRPr="00857FD7">
        <w:rPr>
          <w:sz w:val="24"/>
          <w:szCs w:val="24"/>
        </w:rPr>
        <w:t>•</w:t>
      </w:r>
      <w:r w:rsidRPr="00857FD7">
        <w:rPr>
          <w:sz w:val="24"/>
          <w:szCs w:val="24"/>
        </w:rPr>
        <w:tab/>
      </w:r>
      <w:r w:rsidR="00E0521C">
        <w:rPr>
          <w:sz w:val="24"/>
          <w:szCs w:val="24"/>
        </w:rPr>
        <w:t xml:space="preserve">Proposed </w:t>
      </w:r>
      <w:r w:rsidRPr="00857FD7">
        <w:rPr>
          <w:sz w:val="24"/>
          <w:szCs w:val="24"/>
        </w:rPr>
        <w:t>changes in provision</w:t>
      </w:r>
      <w:r w:rsidR="00E0521C">
        <w:rPr>
          <w:sz w:val="24"/>
          <w:szCs w:val="24"/>
        </w:rPr>
        <w:t xml:space="preserve"> or performance</w:t>
      </w:r>
      <w:r w:rsidRPr="00857FD7">
        <w:rPr>
          <w:sz w:val="24"/>
          <w:szCs w:val="24"/>
        </w:rPr>
        <w:t xml:space="preserve"> should be </w:t>
      </w:r>
      <w:proofErr w:type="spellStart"/>
      <w:r w:rsidRPr="00857FD7">
        <w:rPr>
          <w:sz w:val="24"/>
          <w:szCs w:val="24"/>
        </w:rPr>
        <w:t>quanitifed</w:t>
      </w:r>
      <w:proofErr w:type="spellEnd"/>
      <w:r w:rsidRPr="00857FD7">
        <w:rPr>
          <w:sz w:val="24"/>
          <w:szCs w:val="24"/>
        </w:rPr>
        <w:t xml:space="preserve"> in estimated EFTS/dollars</w:t>
      </w:r>
      <w:r w:rsidR="00E0521C">
        <w:rPr>
          <w:sz w:val="24"/>
          <w:szCs w:val="24"/>
        </w:rPr>
        <w:t xml:space="preserve"> or other </w:t>
      </w:r>
      <w:r w:rsidRPr="00857FD7">
        <w:rPr>
          <w:sz w:val="24"/>
          <w:szCs w:val="24"/>
        </w:rPr>
        <w:t>relevant metric</w:t>
      </w:r>
      <w:r w:rsidR="00E0521C">
        <w:rPr>
          <w:sz w:val="24"/>
          <w:szCs w:val="24"/>
        </w:rPr>
        <w:t>s</w:t>
      </w:r>
      <w:r w:rsidRPr="00857FD7">
        <w:rPr>
          <w:sz w:val="24"/>
          <w:szCs w:val="24"/>
        </w:rPr>
        <w:t>, e.g. EPI percentage shifts.</w:t>
      </w:r>
    </w:p>
    <w:p w14:paraId="6E35CBFE" w14:textId="0362B205" w:rsidR="0094713B" w:rsidRDefault="00857FD7" w:rsidP="0094713B">
      <w:pPr>
        <w:pBdr>
          <w:top w:val="single" w:sz="4" w:space="1" w:color="auto"/>
          <w:left w:val="single" w:sz="4" w:space="4" w:color="auto"/>
          <w:bottom w:val="single" w:sz="4" w:space="1" w:color="auto"/>
          <w:right w:val="single" w:sz="4" w:space="4" w:color="auto"/>
        </w:pBdr>
        <w:spacing w:before="60" w:after="60"/>
        <w:rPr>
          <w:sz w:val="22"/>
          <w:szCs w:val="22"/>
        </w:rPr>
      </w:pPr>
      <w:r w:rsidRPr="00857FD7">
        <w:rPr>
          <w:sz w:val="24"/>
          <w:szCs w:val="24"/>
        </w:rPr>
        <w:t>•</w:t>
      </w:r>
      <w:r w:rsidRPr="00857FD7">
        <w:rPr>
          <w:sz w:val="24"/>
          <w:szCs w:val="24"/>
        </w:rPr>
        <w:tab/>
        <w:t xml:space="preserve">Any planned changes in response to </w:t>
      </w:r>
      <w:r w:rsidR="00F752DA">
        <w:rPr>
          <w:sz w:val="24"/>
          <w:szCs w:val="24"/>
        </w:rPr>
        <w:t>p</w:t>
      </w:r>
      <w:r w:rsidR="00F752DA" w:rsidRPr="00857FD7">
        <w:rPr>
          <w:sz w:val="24"/>
          <w:szCs w:val="24"/>
        </w:rPr>
        <w:t xml:space="preserve">ost </w:t>
      </w:r>
      <w:r w:rsidR="00F752DA">
        <w:rPr>
          <w:sz w:val="24"/>
          <w:szCs w:val="24"/>
        </w:rPr>
        <w:t>s</w:t>
      </w:r>
      <w:r w:rsidR="00F752DA" w:rsidRPr="00857FD7">
        <w:rPr>
          <w:sz w:val="24"/>
          <w:szCs w:val="24"/>
        </w:rPr>
        <w:t xml:space="preserve">tudy </w:t>
      </w:r>
      <w:r w:rsidR="00F752DA">
        <w:rPr>
          <w:sz w:val="24"/>
          <w:szCs w:val="24"/>
        </w:rPr>
        <w:t>o</w:t>
      </w:r>
      <w:r w:rsidR="00F752DA" w:rsidRPr="00857FD7">
        <w:rPr>
          <w:sz w:val="24"/>
          <w:szCs w:val="24"/>
        </w:rPr>
        <w:t xml:space="preserve">utcomes </w:t>
      </w:r>
      <w:r w:rsidRPr="00857FD7">
        <w:rPr>
          <w:sz w:val="24"/>
          <w:szCs w:val="24"/>
        </w:rPr>
        <w:t xml:space="preserve">(PSO) data or </w:t>
      </w:r>
      <w:r w:rsidR="00F752DA" w:rsidRPr="00857FD7">
        <w:rPr>
          <w:sz w:val="24"/>
          <w:szCs w:val="24"/>
        </w:rPr>
        <w:t>low</w:t>
      </w:r>
      <w:r w:rsidR="00F752DA">
        <w:rPr>
          <w:sz w:val="24"/>
          <w:szCs w:val="24"/>
        </w:rPr>
        <w:t>-</w:t>
      </w:r>
      <w:r w:rsidRPr="00857FD7">
        <w:rPr>
          <w:sz w:val="24"/>
          <w:szCs w:val="24"/>
        </w:rPr>
        <w:t>performing provision should be included in the template.</w:t>
      </w:r>
    </w:p>
    <w:p w14:paraId="406483E7" w14:textId="77777777" w:rsidR="0094713B" w:rsidRPr="0094713B" w:rsidRDefault="0094713B" w:rsidP="0094713B">
      <w:pPr>
        <w:pBdr>
          <w:top w:val="single" w:sz="4" w:space="1" w:color="auto"/>
          <w:left w:val="single" w:sz="4" w:space="4" w:color="auto"/>
          <w:bottom w:val="single" w:sz="4" w:space="1" w:color="auto"/>
          <w:right w:val="single" w:sz="4" w:space="4" w:color="auto"/>
        </w:pBdr>
        <w:spacing w:before="60" w:after="60" w:line="264" w:lineRule="auto"/>
        <w:rPr>
          <w:sz w:val="22"/>
          <w:szCs w:val="22"/>
        </w:rPr>
      </w:pPr>
    </w:p>
    <w:p w14:paraId="6B2503E4" w14:textId="77777777" w:rsidR="0094713B" w:rsidRPr="0094713B" w:rsidRDefault="0094713B" w:rsidP="0094713B">
      <w:pPr>
        <w:spacing w:after="200" w:line="276" w:lineRule="auto"/>
        <w:rPr>
          <w:sz w:val="22"/>
          <w:szCs w:val="22"/>
        </w:rPr>
      </w:pPr>
      <w:r w:rsidRPr="0094713B">
        <w:rPr>
          <w:sz w:val="22"/>
          <w:szCs w:val="22"/>
        </w:rPr>
        <w:br w:type="page"/>
      </w:r>
    </w:p>
    <w:tbl>
      <w:tblPr>
        <w:tblStyle w:val="TableGrid"/>
        <w:tblW w:w="5000" w:type="pct"/>
        <w:tblLook w:val="04A0" w:firstRow="1" w:lastRow="0" w:firstColumn="1" w:lastColumn="0" w:noHBand="0" w:noVBand="1"/>
      </w:tblPr>
      <w:tblGrid>
        <w:gridCol w:w="5951"/>
        <w:gridCol w:w="8742"/>
        <w:gridCol w:w="6231"/>
      </w:tblGrid>
      <w:tr w:rsidR="00DD04BD" w:rsidRPr="0094713B" w14:paraId="28AE6320" w14:textId="77777777" w:rsidTr="00DD04BD">
        <w:trPr>
          <w:cantSplit/>
          <w:tblHeader/>
        </w:trPr>
        <w:tc>
          <w:tcPr>
            <w:tcW w:w="5000" w:type="pct"/>
            <w:gridSpan w:val="3"/>
            <w:shd w:val="clear" w:color="auto" w:fill="F2CB6A"/>
            <w:vAlign w:val="center"/>
          </w:tcPr>
          <w:p w14:paraId="0B11CD7A" w14:textId="07FF65A2" w:rsidR="00DD04BD" w:rsidRPr="00D15BCA" w:rsidRDefault="00DD04BD" w:rsidP="00DD04BD">
            <w:pPr>
              <w:keepNext/>
              <w:keepLines/>
              <w:spacing w:before="360" w:after="240"/>
              <w:ind w:left="432" w:hanging="432"/>
              <w:jc w:val="center"/>
              <w:outlineLvl w:val="0"/>
              <w:rPr>
                <w:rFonts w:ascii="Georgia" w:eastAsiaTheme="majorEastAsia" w:hAnsi="Georgia" w:cstheme="minorHAnsi"/>
                <w:b/>
                <w:bCs/>
                <w:color w:val="514A4F"/>
                <w:sz w:val="28"/>
                <w:szCs w:val="28"/>
                <w:lang w:val="en-NZ"/>
              </w:rPr>
            </w:pPr>
            <w:r w:rsidRPr="00D15BCA">
              <w:rPr>
                <w:rFonts w:ascii="Georgia" w:eastAsiaTheme="majorEastAsia" w:hAnsi="Georgia" w:cstheme="minorHAnsi"/>
                <w:b/>
                <w:bCs/>
                <w:color w:val="514A4F"/>
                <w:sz w:val="28"/>
                <w:szCs w:val="28"/>
                <w:lang w:val="en-NZ"/>
              </w:rPr>
              <w:lastRenderedPageBreak/>
              <w:t>Summary of planned shifts for 2020-2022</w:t>
            </w:r>
          </w:p>
        </w:tc>
      </w:tr>
      <w:tr w:rsidR="00DD04BD" w:rsidRPr="0094713B" w14:paraId="10BD8161" w14:textId="77777777" w:rsidTr="00D15BCA">
        <w:trPr>
          <w:cantSplit/>
          <w:tblHeader/>
        </w:trPr>
        <w:tc>
          <w:tcPr>
            <w:tcW w:w="3511" w:type="pct"/>
            <w:gridSpan w:val="2"/>
            <w:shd w:val="clear" w:color="auto" w:fill="F2CB6A"/>
            <w:vAlign w:val="center"/>
          </w:tcPr>
          <w:p w14:paraId="5D8F2C82" w14:textId="473FE5C3" w:rsidR="00DD04BD" w:rsidRPr="00D15BCA" w:rsidRDefault="00DD04BD" w:rsidP="00D15BCA">
            <w:pPr>
              <w:keepNext/>
              <w:keepLines/>
              <w:spacing w:before="240" w:after="240"/>
              <w:ind w:left="432" w:hanging="432"/>
              <w:outlineLvl w:val="0"/>
              <w:rPr>
                <w:rFonts w:asciiTheme="minorHAnsi" w:eastAsiaTheme="majorEastAsia" w:hAnsiTheme="minorHAnsi" w:cstheme="minorHAnsi"/>
                <w:b/>
                <w:bCs/>
                <w:color w:val="514A4F"/>
                <w:sz w:val="24"/>
                <w:szCs w:val="24"/>
                <w:lang w:val="en-NZ"/>
              </w:rPr>
            </w:pPr>
            <w:r w:rsidRPr="00D15BCA">
              <w:rPr>
                <w:rFonts w:asciiTheme="minorHAnsi" w:eastAsiaTheme="majorEastAsia" w:hAnsiTheme="minorHAnsi" w:cstheme="minorHAnsi"/>
                <w:b/>
                <w:bCs/>
                <w:color w:val="514A4F"/>
                <w:sz w:val="24"/>
                <w:szCs w:val="24"/>
                <w:lang w:val="en-NZ"/>
              </w:rPr>
              <w:t xml:space="preserve">TEO Name: </w:t>
            </w:r>
          </w:p>
        </w:tc>
        <w:tc>
          <w:tcPr>
            <w:tcW w:w="1489" w:type="pct"/>
            <w:shd w:val="clear" w:color="auto" w:fill="F2CB6A"/>
            <w:vAlign w:val="center"/>
          </w:tcPr>
          <w:p w14:paraId="0B07D94C" w14:textId="77777777" w:rsidR="00DD04BD" w:rsidRPr="00D15BCA" w:rsidRDefault="00DD04BD" w:rsidP="00D15BCA">
            <w:pPr>
              <w:keepNext/>
              <w:keepLines/>
              <w:spacing w:before="240" w:after="240"/>
              <w:ind w:left="0" w:firstLine="0"/>
              <w:outlineLvl w:val="0"/>
              <w:rPr>
                <w:rFonts w:asciiTheme="minorHAnsi" w:eastAsiaTheme="majorEastAsia" w:hAnsiTheme="minorHAnsi" w:cstheme="minorHAnsi"/>
                <w:b/>
                <w:bCs/>
                <w:color w:val="514A4F"/>
                <w:sz w:val="24"/>
                <w:szCs w:val="24"/>
                <w:lang w:val="en-NZ"/>
              </w:rPr>
            </w:pPr>
            <w:r w:rsidRPr="00D15BCA">
              <w:rPr>
                <w:rFonts w:asciiTheme="minorHAnsi" w:eastAsiaTheme="majorEastAsia" w:hAnsiTheme="minorHAnsi" w:cstheme="minorHAnsi"/>
                <w:b/>
                <w:bCs/>
                <w:color w:val="514A4F"/>
                <w:sz w:val="24"/>
                <w:szCs w:val="24"/>
                <w:lang w:val="en-NZ"/>
              </w:rPr>
              <w:t xml:space="preserve">EDUMIS Number: </w:t>
            </w:r>
          </w:p>
        </w:tc>
      </w:tr>
      <w:tr w:rsidR="00DD04BD" w:rsidRPr="0094713B" w14:paraId="2CCCCFF5" w14:textId="77777777" w:rsidTr="00D15BCA">
        <w:trPr>
          <w:cantSplit/>
          <w:trHeight w:val="929"/>
          <w:tblHeader/>
        </w:trPr>
        <w:tc>
          <w:tcPr>
            <w:tcW w:w="1422" w:type="pct"/>
            <w:shd w:val="clear" w:color="auto" w:fill="4A442A" w:themeFill="background2" w:themeFillShade="40"/>
            <w:vAlign w:val="center"/>
          </w:tcPr>
          <w:p w14:paraId="51191A2A" w14:textId="197190CD" w:rsidR="00DD04BD" w:rsidRPr="00D15BCA" w:rsidRDefault="00DD04BD" w:rsidP="00DD04BD">
            <w:pPr>
              <w:spacing w:before="60" w:after="60" w:line="264" w:lineRule="auto"/>
              <w:jc w:val="center"/>
              <w:rPr>
                <w:rFonts w:asciiTheme="minorHAnsi" w:eastAsiaTheme="minorHAnsi" w:hAnsiTheme="minorHAnsi" w:cstheme="minorHAnsi"/>
                <w:b/>
                <w:bCs/>
                <w:color w:val="FFFFFF" w:themeColor="background1"/>
                <w:sz w:val="24"/>
                <w:szCs w:val="24"/>
              </w:rPr>
            </w:pPr>
            <w:r w:rsidRPr="00D15BCA">
              <w:rPr>
                <w:rFonts w:asciiTheme="minorHAnsi" w:eastAsiaTheme="minorHAnsi" w:hAnsiTheme="minorHAnsi" w:cstheme="minorHAnsi"/>
                <w:b/>
                <w:bCs/>
                <w:color w:val="FFFFFF" w:themeColor="background1"/>
                <w:sz w:val="24"/>
                <w:szCs w:val="24"/>
              </w:rPr>
              <w:t>Government priority area</w:t>
            </w:r>
          </w:p>
        </w:tc>
        <w:tc>
          <w:tcPr>
            <w:tcW w:w="2089" w:type="pct"/>
            <w:shd w:val="clear" w:color="auto" w:fill="4A442A" w:themeFill="background2" w:themeFillShade="40"/>
            <w:vAlign w:val="center"/>
          </w:tcPr>
          <w:p w14:paraId="4B0D9260" w14:textId="0CAB1AB9" w:rsidR="00DD04BD" w:rsidRPr="00D15BCA" w:rsidRDefault="00DD04BD" w:rsidP="00644D2E">
            <w:pPr>
              <w:spacing w:before="60" w:after="60" w:line="264" w:lineRule="auto"/>
              <w:jc w:val="center"/>
              <w:rPr>
                <w:rFonts w:asciiTheme="minorHAnsi" w:eastAsiaTheme="minorHAnsi" w:hAnsiTheme="minorHAnsi" w:cstheme="minorHAnsi"/>
                <w:b/>
                <w:bCs/>
                <w:color w:val="FFFFFF" w:themeColor="background1"/>
                <w:sz w:val="24"/>
                <w:szCs w:val="24"/>
              </w:rPr>
            </w:pPr>
            <w:r w:rsidRPr="00D15BCA">
              <w:rPr>
                <w:rFonts w:asciiTheme="minorHAnsi" w:eastAsiaTheme="minorHAnsi" w:hAnsiTheme="minorHAnsi" w:cstheme="minorHAnsi"/>
                <w:b/>
                <w:bCs/>
                <w:color w:val="FFFFFF" w:themeColor="background1"/>
                <w:sz w:val="24"/>
                <w:szCs w:val="24"/>
              </w:rPr>
              <w:t>Brief description of proposed shift</w:t>
            </w:r>
            <w:r w:rsidR="00644D2E">
              <w:rPr>
                <w:rFonts w:asciiTheme="minorHAnsi" w:eastAsiaTheme="minorHAnsi" w:hAnsiTheme="minorHAnsi" w:cstheme="minorHAnsi"/>
                <w:b/>
                <w:bCs/>
                <w:color w:val="FFFFFF" w:themeColor="background1"/>
                <w:sz w:val="24"/>
                <w:szCs w:val="24"/>
              </w:rPr>
              <w:t>/</w:t>
            </w:r>
            <w:r w:rsidRPr="00D15BCA">
              <w:rPr>
                <w:rFonts w:asciiTheme="minorHAnsi" w:eastAsiaTheme="minorHAnsi" w:hAnsiTheme="minorHAnsi" w:cstheme="minorHAnsi"/>
                <w:b/>
                <w:bCs/>
                <w:color w:val="FFFFFF" w:themeColor="background1"/>
                <w:sz w:val="24"/>
                <w:szCs w:val="24"/>
              </w:rPr>
              <w:t>initiative</w:t>
            </w:r>
            <w:r w:rsidR="00644D2E">
              <w:rPr>
                <w:rFonts w:asciiTheme="minorHAnsi" w:eastAsiaTheme="minorHAnsi" w:hAnsiTheme="minorHAnsi" w:cstheme="minorHAnsi"/>
                <w:b/>
                <w:bCs/>
                <w:color w:val="FFFFFF" w:themeColor="background1"/>
                <w:sz w:val="24"/>
                <w:szCs w:val="24"/>
              </w:rPr>
              <w:t xml:space="preserve"> and its expected impact</w:t>
            </w:r>
          </w:p>
        </w:tc>
        <w:tc>
          <w:tcPr>
            <w:tcW w:w="1489" w:type="pct"/>
            <w:shd w:val="clear" w:color="auto" w:fill="4A442A" w:themeFill="background2" w:themeFillShade="40"/>
            <w:vAlign w:val="center"/>
          </w:tcPr>
          <w:p w14:paraId="0442B8DD" w14:textId="40E7AA9D" w:rsidR="00DD04BD" w:rsidRPr="00D15BCA" w:rsidRDefault="00DD04BD" w:rsidP="00DD04BD">
            <w:pPr>
              <w:spacing w:before="60" w:after="60" w:line="264" w:lineRule="auto"/>
              <w:jc w:val="center"/>
              <w:rPr>
                <w:rFonts w:asciiTheme="minorHAnsi" w:eastAsiaTheme="minorHAnsi" w:hAnsiTheme="minorHAnsi" w:cstheme="minorHAnsi"/>
                <w:b/>
                <w:bCs/>
                <w:color w:val="FFFFFF" w:themeColor="background1"/>
                <w:sz w:val="24"/>
                <w:szCs w:val="24"/>
              </w:rPr>
            </w:pPr>
            <w:r w:rsidRPr="00D15BCA">
              <w:rPr>
                <w:rFonts w:asciiTheme="minorHAnsi" w:eastAsiaTheme="minorHAnsi" w:hAnsiTheme="minorHAnsi" w:cstheme="minorHAnsi"/>
                <w:b/>
                <w:bCs/>
                <w:color w:val="FFFFFF" w:themeColor="background1"/>
                <w:sz w:val="24"/>
                <w:szCs w:val="24"/>
              </w:rPr>
              <w:t>Expected changes in EFTS/dollars and/or performance</w:t>
            </w:r>
          </w:p>
        </w:tc>
      </w:tr>
      <w:tr w:rsidR="00DD04BD" w:rsidRPr="0094713B" w14:paraId="0C499895" w14:textId="77777777" w:rsidTr="00D15BCA">
        <w:trPr>
          <w:cantSplit/>
          <w:trHeight w:val="2026"/>
        </w:trPr>
        <w:tc>
          <w:tcPr>
            <w:tcW w:w="1422" w:type="pct"/>
            <w:vAlign w:val="center"/>
          </w:tcPr>
          <w:p w14:paraId="3D3B00FD" w14:textId="569703C1" w:rsidR="00DD04BD" w:rsidRPr="00D15BCA" w:rsidRDefault="00DD04BD" w:rsidP="00DD04BD">
            <w:pPr>
              <w:rPr>
                <w:rFonts w:asciiTheme="minorHAnsi" w:eastAsiaTheme="minorHAnsi" w:hAnsiTheme="minorHAnsi" w:cstheme="minorHAnsi"/>
                <w:bCs/>
                <w:color w:val="auto"/>
                <w:sz w:val="24"/>
                <w:szCs w:val="24"/>
              </w:rPr>
            </w:pPr>
            <w:r w:rsidRPr="00D15BCA">
              <w:rPr>
                <w:rFonts w:asciiTheme="minorHAnsi" w:eastAsiaTheme="minorHAnsi" w:hAnsiTheme="minorHAnsi" w:cstheme="minorHAnsi"/>
                <w:bCs/>
                <w:color w:val="auto"/>
                <w:sz w:val="24"/>
                <w:szCs w:val="24"/>
              </w:rPr>
              <w:t>E.g. T</w:t>
            </w:r>
            <w:r w:rsidR="00730B6F">
              <w:rPr>
                <w:rFonts w:asciiTheme="minorHAnsi" w:eastAsiaTheme="minorHAnsi" w:hAnsiTheme="minorHAnsi" w:cstheme="minorHAnsi"/>
                <w:bCs/>
                <w:color w:val="auto"/>
                <w:sz w:val="24"/>
                <w:szCs w:val="24"/>
              </w:rPr>
              <w:t>ertiary Education Strategy</w:t>
            </w:r>
            <w:r w:rsidRPr="00D15BCA">
              <w:rPr>
                <w:rFonts w:asciiTheme="minorHAnsi" w:eastAsiaTheme="minorHAnsi" w:hAnsiTheme="minorHAnsi" w:cstheme="minorHAnsi"/>
                <w:bCs/>
                <w:color w:val="auto"/>
                <w:sz w:val="24"/>
                <w:szCs w:val="24"/>
              </w:rPr>
              <w:t xml:space="preserve"> Priority 1 – Delivering skills for industry</w:t>
            </w:r>
          </w:p>
          <w:p w14:paraId="49D3206A" w14:textId="7A77D768" w:rsidR="00DD04BD" w:rsidRPr="00D15BCA" w:rsidRDefault="00DD04BD" w:rsidP="00DD04BD">
            <w:pPr>
              <w:rPr>
                <w:rFonts w:asciiTheme="minorHAnsi" w:eastAsiaTheme="minorHAnsi" w:hAnsiTheme="minorHAnsi" w:cstheme="minorHAnsi"/>
                <w:bCs/>
                <w:color w:val="auto"/>
                <w:sz w:val="24"/>
                <w:szCs w:val="24"/>
              </w:rPr>
            </w:pPr>
            <w:r w:rsidRPr="00D15BCA">
              <w:rPr>
                <w:rFonts w:asciiTheme="minorHAnsi" w:eastAsiaTheme="minorHAnsi" w:hAnsiTheme="minorHAnsi" w:cstheme="minorHAnsi"/>
                <w:bCs/>
                <w:color w:val="auto"/>
                <w:sz w:val="24"/>
                <w:szCs w:val="24"/>
              </w:rPr>
              <w:t>E.g. F</w:t>
            </w:r>
            <w:r w:rsidR="00730B6F">
              <w:rPr>
                <w:rFonts w:asciiTheme="minorHAnsi" w:eastAsiaTheme="minorHAnsi" w:hAnsiTheme="minorHAnsi" w:cstheme="minorHAnsi"/>
                <w:bCs/>
                <w:color w:val="auto"/>
                <w:sz w:val="24"/>
                <w:szCs w:val="24"/>
              </w:rPr>
              <w:t>ocus Area Brief</w:t>
            </w:r>
            <w:r w:rsidRPr="00D15BCA">
              <w:rPr>
                <w:rFonts w:asciiTheme="minorHAnsi" w:eastAsiaTheme="minorHAnsi" w:hAnsiTheme="minorHAnsi" w:cstheme="minorHAnsi"/>
                <w:bCs/>
                <w:color w:val="auto"/>
                <w:sz w:val="24"/>
                <w:szCs w:val="24"/>
              </w:rPr>
              <w:t xml:space="preserve"> on Innovation</w:t>
            </w:r>
          </w:p>
          <w:p w14:paraId="7BCCBC10" w14:textId="492E530B" w:rsidR="00DD04BD" w:rsidRDefault="00DD04BD" w:rsidP="00DD04BD">
            <w:pPr>
              <w:rPr>
                <w:rFonts w:asciiTheme="minorHAnsi" w:eastAsiaTheme="minorHAnsi" w:hAnsiTheme="minorHAnsi" w:cstheme="minorHAnsi"/>
                <w:bCs/>
                <w:color w:val="auto"/>
                <w:sz w:val="24"/>
                <w:szCs w:val="24"/>
                <w:lang w:val="en-NZ"/>
              </w:rPr>
            </w:pPr>
            <w:r w:rsidRPr="00D15BCA">
              <w:rPr>
                <w:rFonts w:asciiTheme="minorHAnsi" w:eastAsiaTheme="minorHAnsi" w:hAnsiTheme="minorHAnsi" w:cstheme="minorHAnsi"/>
                <w:bCs/>
                <w:color w:val="auto"/>
                <w:sz w:val="24"/>
                <w:szCs w:val="24"/>
              </w:rPr>
              <w:t xml:space="preserve">E.g. First </w:t>
            </w:r>
            <w:r w:rsidR="00D15BCA" w:rsidRPr="00D15BCA">
              <w:rPr>
                <w:rFonts w:asciiTheme="minorHAnsi" w:eastAsiaTheme="minorHAnsi" w:hAnsiTheme="minorHAnsi" w:cstheme="minorHAnsi"/>
                <w:bCs/>
                <w:color w:val="auto"/>
                <w:sz w:val="24"/>
                <w:szCs w:val="24"/>
              </w:rPr>
              <w:t>y</w:t>
            </w:r>
            <w:r w:rsidRPr="00D15BCA">
              <w:rPr>
                <w:rFonts w:asciiTheme="minorHAnsi" w:eastAsiaTheme="minorHAnsi" w:hAnsiTheme="minorHAnsi" w:cstheme="minorHAnsi"/>
                <w:bCs/>
                <w:color w:val="auto"/>
                <w:sz w:val="24"/>
                <w:szCs w:val="24"/>
              </w:rPr>
              <w:t xml:space="preserve">ear retention at Level 7 </w:t>
            </w:r>
            <w:r w:rsidR="00D15BCA" w:rsidRPr="00D15BCA">
              <w:rPr>
                <w:rFonts w:asciiTheme="minorHAnsi" w:eastAsiaTheme="minorHAnsi" w:hAnsiTheme="minorHAnsi" w:cstheme="minorHAnsi"/>
                <w:bCs/>
                <w:color w:val="auto"/>
                <w:sz w:val="24"/>
                <w:szCs w:val="24"/>
              </w:rPr>
              <w:t xml:space="preserve">(degree) </w:t>
            </w:r>
            <w:r w:rsidRPr="00D15BCA">
              <w:rPr>
                <w:rFonts w:asciiTheme="minorHAnsi" w:eastAsiaTheme="minorHAnsi" w:hAnsiTheme="minorHAnsi" w:cstheme="minorHAnsi"/>
                <w:bCs/>
                <w:color w:val="auto"/>
                <w:sz w:val="24"/>
                <w:szCs w:val="24"/>
              </w:rPr>
              <w:t>for M</w:t>
            </w:r>
            <w:proofErr w:type="spellStart"/>
            <w:r w:rsidRPr="00D15BCA">
              <w:rPr>
                <w:rFonts w:asciiTheme="minorHAnsi" w:eastAsiaTheme="minorHAnsi" w:hAnsiTheme="minorHAnsi" w:cstheme="minorHAnsi"/>
                <w:bCs/>
                <w:color w:val="auto"/>
                <w:sz w:val="24"/>
                <w:szCs w:val="24"/>
                <w:lang w:val="en-NZ"/>
              </w:rPr>
              <w:t>āori</w:t>
            </w:r>
            <w:proofErr w:type="spellEnd"/>
            <w:r w:rsidRPr="00D15BCA">
              <w:rPr>
                <w:rFonts w:asciiTheme="minorHAnsi" w:eastAsiaTheme="minorHAnsi" w:hAnsiTheme="minorHAnsi" w:cstheme="minorHAnsi"/>
                <w:bCs/>
                <w:color w:val="auto"/>
                <w:sz w:val="24"/>
                <w:szCs w:val="24"/>
                <w:lang w:val="en-NZ"/>
              </w:rPr>
              <w:t xml:space="preserve"> learners</w:t>
            </w:r>
          </w:p>
          <w:p w14:paraId="08CBFD6D" w14:textId="77777777" w:rsidR="009078EA" w:rsidRDefault="009078EA" w:rsidP="00DD04BD">
            <w:pPr>
              <w:rPr>
                <w:rFonts w:asciiTheme="minorHAnsi" w:eastAsiaTheme="minorHAnsi" w:hAnsiTheme="minorHAnsi" w:cstheme="minorHAnsi"/>
                <w:bCs/>
                <w:color w:val="auto"/>
                <w:sz w:val="24"/>
                <w:szCs w:val="24"/>
                <w:lang w:val="en-NZ"/>
              </w:rPr>
            </w:pPr>
          </w:p>
          <w:p w14:paraId="28E855E3" w14:textId="5869D401" w:rsidR="00D15BCA" w:rsidRPr="00D15BCA" w:rsidRDefault="00730B6F" w:rsidP="00DA44CE">
            <w:pPr>
              <w:ind w:left="0" w:firstLine="0"/>
              <w:rPr>
                <w:rFonts w:asciiTheme="minorHAnsi" w:eastAsiaTheme="minorHAnsi" w:hAnsiTheme="minorHAnsi" w:cstheme="minorHAnsi"/>
                <w:bCs/>
                <w:color w:val="auto"/>
                <w:sz w:val="24"/>
                <w:szCs w:val="24"/>
                <w:lang w:val="en-NZ"/>
              </w:rPr>
            </w:pPr>
            <w:r w:rsidRPr="00555904">
              <w:rPr>
                <w:rFonts w:asciiTheme="minorHAnsi" w:hAnsiTheme="minorHAnsi"/>
                <w:sz w:val="24"/>
                <w:szCs w:val="24"/>
              </w:rPr>
              <w:t>Please discuss the areas you will cover with your Relationship Manager.</w:t>
            </w:r>
          </w:p>
        </w:tc>
        <w:tc>
          <w:tcPr>
            <w:tcW w:w="2089" w:type="pct"/>
          </w:tcPr>
          <w:p w14:paraId="19B97B29" w14:textId="77777777" w:rsidR="00D15BCA" w:rsidRDefault="00D15BCA" w:rsidP="00DD04BD">
            <w:pPr>
              <w:rPr>
                <w:rFonts w:asciiTheme="minorHAnsi" w:eastAsiaTheme="minorHAnsi" w:hAnsiTheme="minorHAnsi" w:cstheme="minorHAnsi"/>
                <w:bCs/>
                <w:color w:val="auto"/>
                <w:sz w:val="24"/>
                <w:szCs w:val="24"/>
              </w:rPr>
            </w:pPr>
          </w:p>
          <w:p w14:paraId="63BD5995" w14:textId="7D4BC00E" w:rsidR="00DD04BD" w:rsidRPr="00D15BCA" w:rsidRDefault="00DD04BD" w:rsidP="00DD04BD">
            <w:pPr>
              <w:rPr>
                <w:rFonts w:asciiTheme="minorHAnsi" w:eastAsiaTheme="minorHAnsi" w:hAnsiTheme="minorHAnsi" w:cstheme="minorHAnsi"/>
                <w:bCs/>
                <w:color w:val="auto"/>
                <w:sz w:val="24"/>
                <w:szCs w:val="24"/>
              </w:rPr>
            </w:pPr>
            <w:r w:rsidRPr="00D15BCA">
              <w:rPr>
                <w:rFonts w:asciiTheme="minorHAnsi" w:eastAsiaTheme="minorHAnsi" w:hAnsiTheme="minorHAnsi" w:cstheme="minorHAnsi"/>
                <w:bCs/>
                <w:color w:val="auto"/>
                <w:sz w:val="24"/>
                <w:szCs w:val="24"/>
              </w:rPr>
              <w:t xml:space="preserve">E.g. </w:t>
            </w:r>
            <w:r w:rsidR="00857FD7">
              <w:rPr>
                <w:rFonts w:asciiTheme="minorHAnsi" w:eastAsiaTheme="minorHAnsi" w:hAnsiTheme="minorHAnsi" w:cstheme="minorHAnsi"/>
                <w:bCs/>
                <w:color w:val="auto"/>
                <w:sz w:val="24"/>
                <w:szCs w:val="24"/>
              </w:rPr>
              <w:t>W</w:t>
            </w:r>
            <w:r w:rsidRPr="00D15BCA">
              <w:rPr>
                <w:rFonts w:asciiTheme="minorHAnsi" w:eastAsiaTheme="minorHAnsi" w:hAnsiTheme="minorHAnsi" w:cstheme="minorHAnsi"/>
                <w:bCs/>
                <w:color w:val="auto"/>
                <w:sz w:val="24"/>
                <w:szCs w:val="24"/>
              </w:rPr>
              <w:t xml:space="preserve">e are changing our first year equity support to </w:t>
            </w:r>
            <w:r w:rsidR="00644D2E" w:rsidRPr="00D15BCA">
              <w:rPr>
                <w:rFonts w:asciiTheme="minorHAnsi" w:eastAsiaTheme="minorHAnsi" w:hAnsiTheme="minorHAnsi" w:cstheme="minorHAnsi"/>
                <w:bCs/>
                <w:color w:val="auto"/>
                <w:sz w:val="24"/>
                <w:szCs w:val="24"/>
              </w:rPr>
              <w:t>i</w:t>
            </w:r>
            <w:r w:rsidR="00644D2E">
              <w:rPr>
                <w:rFonts w:asciiTheme="minorHAnsi" w:eastAsiaTheme="minorHAnsi" w:hAnsiTheme="minorHAnsi" w:cstheme="minorHAnsi"/>
                <w:bCs/>
                <w:color w:val="auto"/>
                <w:sz w:val="24"/>
                <w:szCs w:val="24"/>
              </w:rPr>
              <w:t>mprov</w:t>
            </w:r>
            <w:r w:rsidR="00644D2E" w:rsidRPr="00D15BCA">
              <w:rPr>
                <w:rFonts w:asciiTheme="minorHAnsi" w:eastAsiaTheme="minorHAnsi" w:hAnsiTheme="minorHAnsi" w:cstheme="minorHAnsi"/>
                <w:bCs/>
                <w:color w:val="auto"/>
                <w:sz w:val="24"/>
                <w:szCs w:val="24"/>
              </w:rPr>
              <w:t xml:space="preserve">e </w:t>
            </w:r>
            <w:r w:rsidR="00644D2E">
              <w:rPr>
                <w:rFonts w:asciiTheme="minorHAnsi" w:eastAsiaTheme="minorHAnsi" w:hAnsiTheme="minorHAnsi" w:cstheme="minorHAnsi"/>
                <w:bCs/>
                <w:color w:val="auto"/>
                <w:sz w:val="24"/>
                <w:szCs w:val="24"/>
              </w:rPr>
              <w:t xml:space="preserve"> our first year retention for Māori</w:t>
            </w:r>
          </w:p>
          <w:p w14:paraId="4E48D0A8" w14:textId="5E13E546" w:rsidR="00DD04BD" w:rsidRPr="00D15BCA" w:rsidRDefault="00DD04BD" w:rsidP="00DD04BD">
            <w:pPr>
              <w:rPr>
                <w:rFonts w:asciiTheme="minorHAnsi" w:eastAsiaTheme="minorHAnsi" w:hAnsiTheme="minorHAnsi" w:cstheme="minorHAnsi"/>
                <w:bCs/>
                <w:color w:val="auto"/>
                <w:sz w:val="24"/>
                <w:szCs w:val="24"/>
              </w:rPr>
            </w:pPr>
            <w:r w:rsidRPr="00D15BCA">
              <w:rPr>
                <w:rFonts w:asciiTheme="minorHAnsi" w:eastAsiaTheme="minorHAnsi" w:hAnsiTheme="minorHAnsi" w:cstheme="minorHAnsi"/>
                <w:bCs/>
                <w:color w:val="auto"/>
                <w:sz w:val="24"/>
                <w:szCs w:val="24"/>
              </w:rPr>
              <w:t xml:space="preserve">E.g. </w:t>
            </w:r>
            <w:r w:rsidR="00857FD7">
              <w:rPr>
                <w:rFonts w:asciiTheme="minorHAnsi" w:eastAsiaTheme="minorHAnsi" w:hAnsiTheme="minorHAnsi" w:cstheme="minorHAnsi"/>
                <w:bCs/>
                <w:color w:val="auto"/>
                <w:sz w:val="24"/>
                <w:szCs w:val="24"/>
              </w:rPr>
              <w:t>W</w:t>
            </w:r>
            <w:r w:rsidRPr="00D15BCA">
              <w:rPr>
                <w:rFonts w:asciiTheme="minorHAnsi" w:eastAsiaTheme="minorHAnsi" w:hAnsiTheme="minorHAnsi" w:cstheme="minorHAnsi"/>
                <w:bCs/>
                <w:color w:val="auto"/>
                <w:sz w:val="24"/>
                <w:szCs w:val="24"/>
              </w:rPr>
              <w:t xml:space="preserve">e are partnering with employers to </w:t>
            </w:r>
            <w:r w:rsidR="00644D2E">
              <w:rPr>
                <w:rFonts w:asciiTheme="minorHAnsi" w:eastAsiaTheme="minorHAnsi" w:hAnsiTheme="minorHAnsi" w:cstheme="minorHAnsi"/>
                <w:bCs/>
                <w:color w:val="auto"/>
                <w:sz w:val="24"/>
                <w:szCs w:val="24"/>
              </w:rPr>
              <w:t>ensure our graduates have more relevant</w:t>
            </w:r>
            <w:r w:rsidR="00D15BCA" w:rsidRPr="00D15BCA">
              <w:rPr>
                <w:rFonts w:asciiTheme="minorHAnsi" w:eastAsiaTheme="minorHAnsi" w:hAnsiTheme="minorHAnsi" w:cstheme="minorHAnsi"/>
                <w:bCs/>
                <w:color w:val="auto"/>
                <w:sz w:val="24"/>
                <w:szCs w:val="24"/>
              </w:rPr>
              <w:t xml:space="preserve"> </w:t>
            </w:r>
            <w:r w:rsidRPr="00D15BCA">
              <w:rPr>
                <w:rFonts w:asciiTheme="minorHAnsi" w:eastAsiaTheme="minorHAnsi" w:hAnsiTheme="minorHAnsi" w:cstheme="minorHAnsi"/>
                <w:bCs/>
                <w:color w:val="auto"/>
                <w:sz w:val="24"/>
                <w:szCs w:val="24"/>
              </w:rPr>
              <w:t>industry experience</w:t>
            </w:r>
          </w:p>
          <w:p w14:paraId="7222A129" w14:textId="3C4FA8F0" w:rsidR="00DD04BD" w:rsidRDefault="00DD04BD" w:rsidP="00DD04BD">
            <w:pPr>
              <w:rPr>
                <w:rFonts w:asciiTheme="minorHAnsi" w:eastAsiaTheme="minorHAnsi" w:hAnsiTheme="minorHAnsi" w:cstheme="minorHAnsi"/>
                <w:bCs/>
                <w:color w:val="auto"/>
                <w:sz w:val="24"/>
                <w:szCs w:val="24"/>
              </w:rPr>
            </w:pPr>
            <w:r w:rsidRPr="00D15BCA">
              <w:rPr>
                <w:rFonts w:asciiTheme="minorHAnsi" w:eastAsiaTheme="minorHAnsi" w:hAnsiTheme="minorHAnsi" w:cstheme="minorHAnsi"/>
                <w:bCs/>
                <w:color w:val="auto"/>
                <w:sz w:val="24"/>
                <w:szCs w:val="24"/>
              </w:rPr>
              <w:t xml:space="preserve">E.g. </w:t>
            </w:r>
            <w:r w:rsidR="00857FD7">
              <w:rPr>
                <w:rFonts w:asciiTheme="minorHAnsi" w:eastAsiaTheme="minorHAnsi" w:hAnsiTheme="minorHAnsi" w:cstheme="minorHAnsi"/>
                <w:bCs/>
                <w:color w:val="auto"/>
                <w:sz w:val="24"/>
                <w:szCs w:val="24"/>
              </w:rPr>
              <w:t>W</w:t>
            </w:r>
            <w:r w:rsidR="00857FD7" w:rsidRPr="00D15BCA">
              <w:rPr>
                <w:rFonts w:asciiTheme="minorHAnsi" w:eastAsiaTheme="minorHAnsi" w:hAnsiTheme="minorHAnsi" w:cstheme="minorHAnsi"/>
                <w:bCs/>
                <w:color w:val="auto"/>
                <w:sz w:val="24"/>
                <w:szCs w:val="24"/>
              </w:rPr>
              <w:t xml:space="preserve">e’re </w:t>
            </w:r>
            <w:r w:rsidRPr="00D15BCA">
              <w:rPr>
                <w:rFonts w:asciiTheme="minorHAnsi" w:eastAsiaTheme="minorHAnsi" w:hAnsiTheme="minorHAnsi" w:cstheme="minorHAnsi"/>
                <w:bCs/>
                <w:color w:val="auto"/>
                <w:sz w:val="24"/>
                <w:szCs w:val="24"/>
              </w:rPr>
              <w:t>offer</w:t>
            </w:r>
            <w:r w:rsidR="00644D2E">
              <w:rPr>
                <w:rFonts w:asciiTheme="minorHAnsi" w:eastAsiaTheme="minorHAnsi" w:hAnsiTheme="minorHAnsi" w:cstheme="minorHAnsi"/>
                <w:bCs/>
                <w:color w:val="auto"/>
                <w:sz w:val="24"/>
                <w:szCs w:val="24"/>
              </w:rPr>
              <w:t>ing</w:t>
            </w:r>
            <w:r w:rsidRPr="00D15BCA">
              <w:rPr>
                <w:rFonts w:asciiTheme="minorHAnsi" w:eastAsiaTheme="minorHAnsi" w:hAnsiTheme="minorHAnsi" w:cstheme="minorHAnsi"/>
                <w:bCs/>
                <w:color w:val="auto"/>
                <w:sz w:val="24"/>
                <w:szCs w:val="24"/>
              </w:rPr>
              <w:t xml:space="preserve"> this </w:t>
            </w:r>
            <w:proofErr w:type="spellStart"/>
            <w:r w:rsidRPr="00D15BCA">
              <w:rPr>
                <w:rFonts w:asciiTheme="minorHAnsi" w:eastAsiaTheme="minorHAnsi" w:hAnsiTheme="minorHAnsi" w:cstheme="minorHAnsi"/>
                <w:bCs/>
                <w:color w:val="auto"/>
                <w:sz w:val="24"/>
                <w:szCs w:val="24"/>
              </w:rPr>
              <w:t>programme</w:t>
            </w:r>
            <w:proofErr w:type="spellEnd"/>
            <w:r w:rsidRPr="00D15BCA">
              <w:rPr>
                <w:rFonts w:asciiTheme="minorHAnsi" w:eastAsiaTheme="minorHAnsi" w:hAnsiTheme="minorHAnsi" w:cstheme="minorHAnsi"/>
                <w:bCs/>
                <w:color w:val="auto"/>
                <w:sz w:val="24"/>
                <w:szCs w:val="24"/>
              </w:rPr>
              <w:t xml:space="preserve"> to more learners</w:t>
            </w:r>
            <w:r w:rsidR="00D15BCA" w:rsidRPr="00D15BCA">
              <w:rPr>
                <w:rFonts w:asciiTheme="minorHAnsi" w:eastAsiaTheme="minorHAnsi" w:hAnsiTheme="minorHAnsi" w:cstheme="minorHAnsi"/>
                <w:bCs/>
                <w:color w:val="auto"/>
                <w:sz w:val="24"/>
                <w:szCs w:val="24"/>
              </w:rPr>
              <w:t xml:space="preserve">. Our stakeholder engagement and research shows </w:t>
            </w:r>
            <w:r w:rsidRPr="00D15BCA">
              <w:rPr>
                <w:rFonts w:asciiTheme="minorHAnsi" w:eastAsiaTheme="minorHAnsi" w:hAnsiTheme="minorHAnsi" w:cstheme="minorHAnsi"/>
                <w:bCs/>
                <w:color w:val="auto"/>
                <w:sz w:val="24"/>
                <w:szCs w:val="24"/>
              </w:rPr>
              <w:t>it meets a specific</w:t>
            </w:r>
            <w:r w:rsidR="00D15BCA" w:rsidRPr="00D15BCA">
              <w:rPr>
                <w:rFonts w:asciiTheme="minorHAnsi" w:eastAsiaTheme="minorHAnsi" w:hAnsiTheme="minorHAnsi" w:cstheme="minorHAnsi"/>
                <w:bCs/>
                <w:color w:val="auto"/>
                <w:sz w:val="24"/>
                <w:szCs w:val="24"/>
              </w:rPr>
              <w:t xml:space="preserve"> regional</w:t>
            </w:r>
            <w:r w:rsidRPr="00D15BCA">
              <w:rPr>
                <w:rFonts w:asciiTheme="minorHAnsi" w:eastAsiaTheme="minorHAnsi" w:hAnsiTheme="minorHAnsi" w:cstheme="minorHAnsi"/>
                <w:bCs/>
                <w:color w:val="auto"/>
                <w:sz w:val="24"/>
                <w:szCs w:val="24"/>
              </w:rPr>
              <w:t xml:space="preserve"> need</w:t>
            </w:r>
            <w:r w:rsidR="00D15BCA" w:rsidRPr="00D15BCA">
              <w:rPr>
                <w:rFonts w:asciiTheme="minorHAnsi" w:eastAsiaTheme="minorHAnsi" w:hAnsiTheme="minorHAnsi" w:cstheme="minorHAnsi"/>
                <w:bCs/>
                <w:color w:val="auto"/>
                <w:sz w:val="24"/>
                <w:szCs w:val="24"/>
              </w:rPr>
              <w:t xml:space="preserve"> and is linked to good outcomes for our graduates in the PSO data</w:t>
            </w:r>
          </w:p>
          <w:p w14:paraId="2D23E170" w14:textId="5710D85A" w:rsidR="00AC04DB" w:rsidRPr="00D15BCA" w:rsidRDefault="00AC04DB" w:rsidP="00DD04BD">
            <w:pPr>
              <w:rPr>
                <w:rFonts w:asciiTheme="minorHAnsi" w:eastAsiaTheme="minorHAnsi" w:hAnsiTheme="minorHAnsi" w:cstheme="minorHAnsi"/>
                <w:bCs/>
                <w:color w:val="auto"/>
                <w:sz w:val="24"/>
                <w:szCs w:val="24"/>
              </w:rPr>
            </w:pPr>
            <w:r>
              <w:rPr>
                <w:rFonts w:asciiTheme="minorHAnsi" w:eastAsiaTheme="minorHAnsi" w:hAnsiTheme="minorHAnsi" w:cstheme="minorHAnsi"/>
                <w:bCs/>
                <w:color w:val="auto"/>
                <w:sz w:val="24"/>
                <w:szCs w:val="24"/>
              </w:rPr>
              <w:t xml:space="preserve">E.g. </w:t>
            </w:r>
            <w:r w:rsidR="00857FD7">
              <w:rPr>
                <w:rFonts w:asciiTheme="minorHAnsi" w:eastAsiaTheme="minorHAnsi" w:hAnsiTheme="minorHAnsi" w:cstheme="minorHAnsi"/>
                <w:bCs/>
                <w:color w:val="auto"/>
                <w:sz w:val="24"/>
                <w:szCs w:val="24"/>
              </w:rPr>
              <w:t>W</w:t>
            </w:r>
            <w:r>
              <w:rPr>
                <w:rFonts w:asciiTheme="minorHAnsi" w:eastAsiaTheme="minorHAnsi" w:hAnsiTheme="minorHAnsi" w:cstheme="minorHAnsi"/>
                <w:bCs/>
                <w:color w:val="auto"/>
                <w:sz w:val="24"/>
                <w:szCs w:val="24"/>
              </w:rPr>
              <w:t>e are restructuring</w:t>
            </w:r>
            <w:r w:rsidR="009078EA">
              <w:rPr>
                <w:rFonts w:asciiTheme="minorHAnsi" w:eastAsiaTheme="minorHAnsi" w:hAnsiTheme="minorHAnsi" w:cstheme="minorHAnsi"/>
                <w:bCs/>
                <w:color w:val="auto"/>
                <w:sz w:val="24"/>
                <w:szCs w:val="24"/>
              </w:rPr>
              <w:t xml:space="preserve"> this</w:t>
            </w:r>
            <w:r>
              <w:rPr>
                <w:rFonts w:asciiTheme="minorHAnsi" w:eastAsiaTheme="minorHAnsi" w:hAnsiTheme="minorHAnsi" w:cstheme="minorHAnsi"/>
                <w:bCs/>
                <w:color w:val="auto"/>
                <w:sz w:val="24"/>
                <w:szCs w:val="24"/>
              </w:rPr>
              <w:t xml:space="preserve"> part of our business</w:t>
            </w:r>
            <w:r w:rsidR="00644D2E">
              <w:rPr>
                <w:rFonts w:asciiTheme="minorHAnsi" w:eastAsiaTheme="minorHAnsi" w:hAnsiTheme="minorHAnsi" w:cstheme="minorHAnsi"/>
                <w:bCs/>
                <w:color w:val="auto"/>
                <w:sz w:val="24"/>
                <w:szCs w:val="24"/>
              </w:rPr>
              <w:t xml:space="preserve"> to improve </w:t>
            </w:r>
            <w:r w:rsidR="009078EA">
              <w:rPr>
                <w:rFonts w:asciiTheme="minorHAnsi" w:eastAsiaTheme="minorHAnsi" w:hAnsiTheme="minorHAnsi" w:cstheme="minorHAnsi"/>
                <w:bCs/>
                <w:color w:val="auto"/>
                <w:sz w:val="24"/>
                <w:szCs w:val="24"/>
              </w:rPr>
              <w:t>our ability to deliver on our mission and role in the system</w:t>
            </w:r>
          </w:p>
          <w:p w14:paraId="488E84D5" w14:textId="77777777" w:rsidR="00DD04BD" w:rsidRPr="00D15BCA" w:rsidRDefault="00DD04BD" w:rsidP="00D15BCA">
            <w:pPr>
              <w:rPr>
                <w:rFonts w:asciiTheme="minorHAnsi" w:eastAsiaTheme="minorHAnsi" w:hAnsiTheme="minorHAnsi" w:cstheme="minorHAnsi"/>
                <w:bCs/>
                <w:color w:val="auto"/>
                <w:sz w:val="24"/>
                <w:szCs w:val="24"/>
              </w:rPr>
            </w:pPr>
          </w:p>
        </w:tc>
        <w:tc>
          <w:tcPr>
            <w:tcW w:w="1489" w:type="pct"/>
          </w:tcPr>
          <w:p w14:paraId="0242CEF2" w14:textId="77777777" w:rsidR="00DD04BD" w:rsidRPr="00D15BCA" w:rsidRDefault="00DD04BD" w:rsidP="00DD04BD">
            <w:pPr>
              <w:rPr>
                <w:rFonts w:asciiTheme="minorHAnsi" w:eastAsiaTheme="minorHAnsi" w:hAnsiTheme="minorHAnsi" w:cstheme="minorHAnsi"/>
                <w:bCs/>
                <w:color w:val="auto"/>
                <w:sz w:val="24"/>
                <w:szCs w:val="24"/>
              </w:rPr>
            </w:pPr>
          </w:p>
          <w:p w14:paraId="407EA166" w14:textId="21681CA6" w:rsidR="00DD04BD" w:rsidRPr="00D15BCA" w:rsidRDefault="00DD04BD" w:rsidP="00DD04BD">
            <w:pPr>
              <w:rPr>
                <w:rFonts w:asciiTheme="minorHAnsi" w:eastAsiaTheme="minorHAnsi" w:hAnsiTheme="minorHAnsi" w:cstheme="minorHAnsi"/>
                <w:bCs/>
                <w:color w:val="auto"/>
                <w:sz w:val="24"/>
                <w:szCs w:val="24"/>
              </w:rPr>
            </w:pPr>
            <w:r w:rsidRPr="00D15BCA">
              <w:rPr>
                <w:rFonts w:asciiTheme="minorHAnsi" w:eastAsiaTheme="minorHAnsi" w:hAnsiTheme="minorHAnsi" w:cstheme="minorHAnsi"/>
                <w:bCs/>
                <w:color w:val="auto"/>
                <w:sz w:val="24"/>
                <w:szCs w:val="24"/>
              </w:rPr>
              <w:t xml:space="preserve">E.g. increasing this </w:t>
            </w:r>
            <w:proofErr w:type="spellStart"/>
            <w:r w:rsidRPr="00D15BCA">
              <w:rPr>
                <w:rFonts w:asciiTheme="minorHAnsi" w:eastAsiaTheme="minorHAnsi" w:hAnsiTheme="minorHAnsi" w:cstheme="minorHAnsi"/>
                <w:bCs/>
                <w:color w:val="auto"/>
                <w:sz w:val="24"/>
                <w:szCs w:val="24"/>
              </w:rPr>
              <w:t>provison</w:t>
            </w:r>
            <w:proofErr w:type="spellEnd"/>
            <w:r w:rsidRPr="00D15BCA">
              <w:rPr>
                <w:rFonts w:asciiTheme="minorHAnsi" w:eastAsiaTheme="minorHAnsi" w:hAnsiTheme="minorHAnsi" w:cstheme="minorHAnsi"/>
                <w:bCs/>
                <w:color w:val="auto"/>
                <w:sz w:val="24"/>
                <w:szCs w:val="24"/>
              </w:rPr>
              <w:t xml:space="preserve"> by 50 EFTS over three years</w:t>
            </w:r>
          </w:p>
          <w:p w14:paraId="325F04AA" w14:textId="0CABE12A" w:rsidR="00DD04BD" w:rsidRPr="00D15BCA" w:rsidRDefault="00DD04BD" w:rsidP="00DD04BD">
            <w:pPr>
              <w:rPr>
                <w:rFonts w:asciiTheme="minorHAnsi" w:eastAsiaTheme="minorHAnsi" w:hAnsiTheme="minorHAnsi" w:cstheme="minorHAnsi"/>
                <w:bCs/>
                <w:color w:val="auto"/>
                <w:sz w:val="24"/>
                <w:szCs w:val="24"/>
              </w:rPr>
            </w:pPr>
            <w:r w:rsidRPr="00D15BCA">
              <w:rPr>
                <w:rFonts w:asciiTheme="minorHAnsi" w:eastAsiaTheme="minorHAnsi" w:hAnsiTheme="minorHAnsi" w:cstheme="minorHAnsi"/>
                <w:bCs/>
                <w:color w:val="auto"/>
                <w:sz w:val="24"/>
                <w:szCs w:val="24"/>
              </w:rPr>
              <w:t xml:space="preserve">E.g. lifting our </w:t>
            </w:r>
            <w:r w:rsidR="00D15BCA" w:rsidRPr="00D15BCA">
              <w:rPr>
                <w:rFonts w:asciiTheme="minorHAnsi" w:eastAsiaTheme="minorHAnsi" w:hAnsiTheme="minorHAnsi" w:cstheme="minorHAnsi"/>
                <w:bCs/>
                <w:color w:val="auto"/>
                <w:sz w:val="24"/>
                <w:szCs w:val="24"/>
              </w:rPr>
              <w:t xml:space="preserve">First </w:t>
            </w:r>
            <w:r w:rsidR="009078EA">
              <w:rPr>
                <w:rFonts w:asciiTheme="minorHAnsi" w:eastAsiaTheme="minorHAnsi" w:hAnsiTheme="minorHAnsi" w:cstheme="minorHAnsi"/>
                <w:bCs/>
                <w:color w:val="auto"/>
                <w:sz w:val="24"/>
                <w:szCs w:val="24"/>
              </w:rPr>
              <w:t>Y</w:t>
            </w:r>
            <w:r w:rsidR="009078EA" w:rsidRPr="00D15BCA">
              <w:rPr>
                <w:rFonts w:asciiTheme="minorHAnsi" w:eastAsiaTheme="minorHAnsi" w:hAnsiTheme="minorHAnsi" w:cstheme="minorHAnsi"/>
                <w:bCs/>
                <w:color w:val="auto"/>
                <w:sz w:val="24"/>
                <w:szCs w:val="24"/>
              </w:rPr>
              <w:t xml:space="preserve">ear </w:t>
            </w:r>
            <w:r w:rsidR="009078EA">
              <w:rPr>
                <w:rFonts w:asciiTheme="minorHAnsi" w:eastAsiaTheme="minorHAnsi" w:hAnsiTheme="minorHAnsi" w:cstheme="minorHAnsi"/>
                <w:bCs/>
                <w:color w:val="auto"/>
                <w:sz w:val="24"/>
                <w:szCs w:val="24"/>
              </w:rPr>
              <w:t>R</w:t>
            </w:r>
            <w:r w:rsidR="00D15BCA" w:rsidRPr="00D15BCA">
              <w:rPr>
                <w:rFonts w:asciiTheme="minorHAnsi" w:eastAsiaTheme="minorHAnsi" w:hAnsiTheme="minorHAnsi" w:cstheme="minorHAnsi"/>
                <w:bCs/>
                <w:color w:val="auto"/>
                <w:sz w:val="24"/>
                <w:szCs w:val="24"/>
              </w:rPr>
              <w:t xml:space="preserve">etention at Level 7 (degree) for Māori learners </w:t>
            </w:r>
            <w:r w:rsidRPr="00D15BCA">
              <w:rPr>
                <w:rFonts w:asciiTheme="minorHAnsi" w:eastAsiaTheme="minorHAnsi" w:hAnsiTheme="minorHAnsi" w:cstheme="minorHAnsi"/>
                <w:bCs/>
                <w:color w:val="auto"/>
                <w:sz w:val="24"/>
                <w:szCs w:val="24"/>
              </w:rPr>
              <w:t>rate by 5</w:t>
            </w:r>
            <w:r w:rsidR="009078EA">
              <w:rPr>
                <w:rFonts w:asciiTheme="minorHAnsi" w:eastAsiaTheme="minorHAnsi" w:hAnsiTheme="minorHAnsi" w:cstheme="minorHAnsi"/>
                <w:bCs/>
                <w:color w:val="auto"/>
                <w:sz w:val="24"/>
                <w:szCs w:val="24"/>
              </w:rPr>
              <w:t xml:space="preserve"> percent</w:t>
            </w:r>
            <w:r w:rsidR="009078EA" w:rsidRPr="00D15BCA">
              <w:rPr>
                <w:rFonts w:asciiTheme="minorHAnsi" w:eastAsiaTheme="minorHAnsi" w:hAnsiTheme="minorHAnsi" w:cstheme="minorHAnsi"/>
                <w:bCs/>
                <w:color w:val="auto"/>
                <w:sz w:val="24"/>
                <w:szCs w:val="24"/>
              </w:rPr>
              <w:t xml:space="preserve"> </w:t>
            </w:r>
            <w:r w:rsidRPr="00D15BCA">
              <w:rPr>
                <w:rFonts w:asciiTheme="minorHAnsi" w:eastAsiaTheme="minorHAnsi" w:hAnsiTheme="minorHAnsi" w:cstheme="minorHAnsi"/>
                <w:bCs/>
                <w:color w:val="auto"/>
                <w:sz w:val="24"/>
                <w:szCs w:val="24"/>
              </w:rPr>
              <w:t>over three years</w:t>
            </w:r>
          </w:p>
          <w:p w14:paraId="2CECE319" w14:textId="77777777" w:rsidR="00D15BCA" w:rsidRDefault="00D15BCA" w:rsidP="00DD04BD">
            <w:pPr>
              <w:rPr>
                <w:rFonts w:asciiTheme="minorHAnsi" w:eastAsiaTheme="minorHAnsi" w:hAnsiTheme="minorHAnsi" w:cstheme="minorHAnsi"/>
                <w:bCs/>
                <w:color w:val="auto"/>
                <w:sz w:val="24"/>
                <w:szCs w:val="24"/>
              </w:rPr>
            </w:pPr>
          </w:p>
          <w:p w14:paraId="16D0FFE4" w14:textId="77777777" w:rsidR="009078EA" w:rsidRDefault="009078EA" w:rsidP="00DD04BD">
            <w:pPr>
              <w:rPr>
                <w:rFonts w:asciiTheme="minorHAnsi" w:eastAsiaTheme="minorHAnsi" w:hAnsiTheme="minorHAnsi" w:cstheme="minorHAnsi"/>
                <w:bCs/>
                <w:color w:val="auto"/>
                <w:sz w:val="24"/>
                <w:szCs w:val="24"/>
              </w:rPr>
            </w:pPr>
          </w:p>
          <w:p w14:paraId="2A443E92" w14:textId="5502AC2E" w:rsidR="009078EA" w:rsidRPr="00D15BCA" w:rsidRDefault="009078EA" w:rsidP="00DD04BD">
            <w:pPr>
              <w:rPr>
                <w:rFonts w:asciiTheme="minorHAnsi" w:eastAsiaTheme="minorHAnsi" w:hAnsiTheme="minorHAnsi" w:cstheme="minorHAnsi"/>
                <w:bCs/>
                <w:color w:val="auto"/>
                <w:sz w:val="24"/>
                <w:szCs w:val="24"/>
              </w:rPr>
            </w:pPr>
          </w:p>
        </w:tc>
      </w:tr>
      <w:tr w:rsidR="00DD04BD" w:rsidRPr="0094713B" w14:paraId="61DD26A4" w14:textId="77777777" w:rsidTr="00D15BCA">
        <w:trPr>
          <w:cantSplit/>
          <w:trHeight w:val="90"/>
        </w:trPr>
        <w:tc>
          <w:tcPr>
            <w:tcW w:w="1422" w:type="pct"/>
            <w:vAlign w:val="center"/>
          </w:tcPr>
          <w:p w14:paraId="52EB1DD7" w14:textId="135D8595" w:rsidR="00DD04BD" w:rsidRPr="0094713B" w:rsidRDefault="00DD04BD" w:rsidP="0094713B">
            <w:pPr>
              <w:spacing w:before="60" w:after="60" w:line="264" w:lineRule="auto"/>
              <w:ind w:right="-110"/>
              <w:rPr>
                <w:rFonts w:eastAsiaTheme="minorHAnsi" w:cstheme="minorBidi"/>
                <w:b/>
                <w:bCs/>
                <w:color w:val="auto"/>
                <w:sz w:val="22"/>
                <w:szCs w:val="22"/>
              </w:rPr>
            </w:pPr>
          </w:p>
        </w:tc>
        <w:tc>
          <w:tcPr>
            <w:tcW w:w="2089" w:type="pct"/>
          </w:tcPr>
          <w:p w14:paraId="20E4969A" w14:textId="77777777" w:rsidR="00DD04BD" w:rsidRPr="0094713B" w:rsidRDefault="00DD04BD" w:rsidP="008E5D34">
            <w:pPr>
              <w:keepNext/>
              <w:keepLines/>
              <w:pageBreakBefore/>
              <w:suppressLineNumbers/>
              <w:suppressAutoHyphens/>
              <w:ind w:left="567" w:firstLine="0"/>
              <w:contextualSpacing/>
              <w:rPr>
                <w:rFonts w:asciiTheme="majorHAnsi" w:eastAsiaTheme="minorHAnsi" w:hAnsiTheme="majorHAnsi" w:cstheme="minorBidi"/>
                <w:bCs/>
                <w:color w:val="auto"/>
                <w:szCs w:val="18"/>
              </w:rPr>
            </w:pPr>
          </w:p>
        </w:tc>
        <w:tc>
          <w:tcPr>
            <w:tcW w:w="1489" w:type="pct"/>
          </w:tcPr>
          <w:p w14:paraId="4850E139" w14:textId="77777777" w:rsidR="00DD04BD" w:rsidRPr="0094713B" w:rsidRDefault="00DD04BD" w:rsidP="000A4F07">
            <w:pPr>
              <w:keepNext/>
              <w:keepLines/>
              <w:pageBreakBefore/>
              <w:suppressLineNumbers/>
              <w:suppressAutoHyphens/>
              <w:ind w:left="0" w:firstLine="0"/>
              <w:contextualSpacing/>
              <w:rPr>
                <w:rFonts w:asciiTheme="majorHAnsi" w:hAnsiTheme="majorHAnsi"/>
                <w:szCs w:val="18"/>
              </w:rPr>
            </w:pPr>
          </w:p>
        </w:tc>
      </w:tr>
      <w:tr w:rsidR="00DD04BD" w:rsidRPr="0094713B" w14:paraId="52E4296C" w14:textId="77777777" w:rsidTr="00D15BCA">
        <w:trPr>
          <w:cantSplit/>
          <w:trHeight w:val="77"/>
        </w:trPr>
        <w:tc>
          <w:tcPr>
            <w:tcW w:w="1422" w:type="pct"/>
            <w:vAlign w:val="center"/>
          </w:tcPr>
          <w:p w14:paraId="5E51E303" w14:textId="77777777" w:rsidR="00DD04BD" w:rsidRPr="0094713B" w:rsidRDefault="00DD04BD" w:rsidP="0094713B">
            <w:pPr>
              <w:spacing w:before="60" w:after="60" w:line="264" w:lineRule="auto"/>
              <w:ind w:right="-110"/>
              <w:rPr>
                <w:rFonts w:eastAsiaTheme="minorHAnsi" w:cstheme="minorBidi"/>
                <w:b/>
                <w:bCs/>
                <w:color w:val="auto"/>
                <w:sz w:val="22"/>
                <w:szCs w:val="22"/>
              </w:rPr>
            </w:pPr>
          </w:p>
        </w:tc>
        <w:tc>
          <w:tcPr>
            <w:tcW w:w="2089" w:type="pct"/>
          </w:tcPr>
          <w:p w14:paraId="067ED385" w14:textId="77777777" w:rsidR="00DD04BD" w:rsidRPr="0094713B" w:rsidRDefault="00DD04BD" w:rsidP="008E5D34">
            <w:pPr>
              <w:keepNext/>
              <w:keepLines/>
              <w:pageBreakBefore/>
              <w:suppressLineNumbers/>
              <w:suppressAutoHyphens/>
              <w:ind w:left="567" w:firstLine="0"/>
              <w:contextualSpacing/>
              <w:rPr>
                <w:rFonts w:asciiTheme="majorHAnsi" w:eastAsiaTheme="minorHAnsi" w:hAnsiTheme="majorHAnsi" w:cstheme="minorBidi"/>
                <w:bCs/>
                <w:color w:val="auto"/>
                <w:szCs w:val="18"/>
              </w:rPr>
            </w:pPr>
          </w:p>
        </w:tc>
        <w:tc>
          <w:tcPr>
            <w:tcW w:w="1489" w:type="pct"/>
          </w:tcPr>
          <w:p w14:paraId="73CB21FF" w14:textId="77777777" w:rsidR="00DD04BD" w:rsidRPr="0094713B" w:rsidRDefault="00DD04BD" w:rsidP="000A4F07">
            <w:pPr>
              <w:keepNext/>
              <w:keepLines/>
              <w:pageBreakBefore/>
              <w:suppressLineNumbers/>
              <w:suppressAutoHyphens/>
              <w:ind w:left="0" w:firstLine="0"/>
              <w:contextualSpacing/>
              <w:rPr>
                <w:rFonts w:asciiTheme="majorHAnsi" w:hAnsiTheme="majorHAnsi"/>
                <w:szCs w:val="18"/>
              </w:rPr>
            </w:pPr>
          </w:p>
        </w:tc>
      </w:tr>
      <w:tr w:rsidR="00DD04BD" w:rsidRPr="0094713B" w14:paraId="335E7E00" w14:textId="77777777" w:rsidTr="00D15BCA">
        <w:trPr>
          <w:cantSplit/>
          <w:trHeight w:val="77"/>
        </w:trPr>
        <w:tc>
          <w:tcPr>
            <w:tcW w:w="1422" w:type="pct"/>
            <w:vAlign w:val="center"/>
          </w:tcPr>
          <w:p w14:paraId="01504B67" w14:textId="0966C442" w:rsidR="00DD04BD" w:rsidRPr="00D15BCA" w:rsidRDefault="00DD04BD" w:rsidP="00D15BCA">
            <w:pPr>
              <w:spacing w:before="60" w:after="60" w:line="264" w:lineRule="auto"/>
              <w:ind w:right="-110"/>
              <w:rPr>
                <w:rFonts w:eastAsiaTheme="minorHAnsi" w:cstheme="minorBidi"/>
                <w:b/>
                <w:bCs/>
                <w:color w:val="auto"/>
                <w:sz w:val="22"/>
                <w:szCs w:val="22"/>
              </w:rPr>
            </w:pPr>
          </w:p>
        </w:tc>
        <w:tc>
          <w:tcPr>
            <w:tcW w:w="2089" w:type="pct"/>
          </w:tcPr>
          <w:p w14:paraId="0EA678A4" w14:textId="77777777" w:rsidR="00DD04BD" w:rsidRPr="00D15BCA" w:rsidRDefault="00DD04BD" w:rsidP="00D15BCA">
            <w:pPr>
              <w:pStyle w:val="ListParagraph"/>
              <w:ind w:left="318" w:right="-110"/>
              <w:contextualSpacing w:val="0"/>
              <w:rPr>
                <w:rFonts w:eastAsiaTheme="minorHAnsi" w:cstheme="minorBidi"/>
                <w:b/>
                <w:bCs/>
                <w:color w:val="auto"/>
                <w:sz w:val="22"/>
                <w:szCs w:val="22"/>
              </w:rPr>
            </w:pPr>
          </w:p>
        </w:tc>
        <w:tc>
          <w:tcPr>
            <w:tcW w:w="1489" w:type="pct"/>
          </w:tcPr>
          <w:p w14:paraId="6E3D7D80" w14:textId="77777777" w:rsidR="00DD04BD" w:rsidRPr="00D15BCA" w:rsidRDefault="00DD04BD" w:rsidP="00D15BCA">
            <w:pPr>
              <w:ind w:right="-110"/>
              <w:rPr>
                <w:rFonts w:eastAsiaTheme="minorHAnsi" w:cstheme="minorBidi"/>
                <w:b/>
                <w:bCs/>
                <w:color w:val="auto"/>
                <w:sz w:val="22"/>
                <w:szCs w:val="22"/>
              </w:rPr>
            </w:pPr>
          </w:p>
        </w:tc>
      </w:tr>
      <w:tr w:rsidR="00DD04BD" w:rsidRPr="0094713B" w14:paraId="134DE05C" w14:textId="77777777" w:rsidTr="00D15BCA">
        <w:trPr>
          <w:cantSplit/>
          <w:trHeight w:val="85"/>
        </w:trPr>
        <w:tc>
          <w:tcPr>
            <w:tcW w:w="1422" w:type="pct"/>
            <w:vAlign w:val="center"/>
          </w:tcPr>
          <w:p w14:paraId="78322F2F" w14:textId="6919434B" w:rsidR="00DD04BD" w:rsidRPr="00D15BCA" w:rsidRDefault="00DD04BD" w:rsidP="00D15BCA">
            <w:pPr>
              <w:spacing w:before="60" w:after="60" w:line="264" w:lineRule="auto"/>
              <w:ind w:right="-110"/>
              <w:rPr>
                <w:rFonts w:eastAsiaTheme="minorHAnsi" w:cstheme="minorBidi"/>
                <w:b/>
                <w:bCs/>
                <w:color w:val="auto"/>
                <w:sz w:val="22"/>
                <w:szCs w:val="22"/>
              </w:rPr>
            </w:pPr>
          </w:p>
        </w:tc>
        <w:tc>
          <w:tcPr>
            <w:tcW w:w="2089" w:type="pct"/>
          </w:tcPr>
          <w:p w14:paraId="165D7060" w14:textId="77777777" w:rsidR="00DD04BD" w:rsidRPr="00D15BCA" w:rsidRDefault="00DD04BD" w:rsidP="00D15BCA">
            <w:pPr>
              <w:ind w:right="-110"/>
              <w:rPr>
                <w:rFonts w:eastAsiaTheme="minorHAnsi" w:cstheme="minorBidi"/>
                <w:b/>
                <w:bCs/>
                <w:color w:val="auto"/>
                <w:sz w:val="22"/>
                <w:szCs w:val="22"/>
              </w:rPr>
            </w:pPr>
          </w:p>
        </w:tc>
        <w:tc>
          <w:tcPr>
            <w:tcW w:w="1489" w:type="pct"/>
          </w:tcPr>
          <w:p w14:paraId="444C1E0E" w14:textId="5A4937E2" w:rsidR="00DD04BD" w:rsidRPr="00D15BCA" w:rsidRDefault="00DD04BD" w:rsidP="00D15BCA">
            <w:pPr>
              <w:ind w:right="-110"/>
              <w:rPr>
                <w:rFonts w:eastAsiaTheme="minorHAnsi" w:cstheme="minorBidi"/>
                <w:b/>
                <w:bCs/>
                <w:color w:val="auto"/>
                <w:sz w:val="22"/>
                <w:szCs w:val="22"/>
              </w:rPr>
            </w:pPr>
          </w:p>
        </w:tc>
      </w:tr>
      <w:tr w:rsidR="00DD04BD" w:rsidRPr="0094713B" w14:paraId="2857CD5C" w14:textId="77777777" w:rsidTr="00D15BCA">
        <w:trPr>
          <w:cantSplit/>
        </w:trPr>
        <w:tc>
          <w:tcPr>
            <w:tcW w:w="1422" w:type="pct"/>
            <w:vAlign w:val="center"/>
          </w:tcPr>
          <w:p w14:paraId="48349ADB" w14:textId="2BA4E2BC" w:rsidR="00DD04BD" w:rsidRPr="00D15BCA" w:rsidRDefault="00DD04BD" w:rsidP="00D15BCA">
            <w:pPr>
              <w:spacing w:before="60" w:after="60" w:line="264" w:lineRule="auto"/>
              <w:ind w:right="-110"/>
              <w:rPr>
                <w:rFonts w:eastAsiaTheme="minorHAnsi" w:cstheme="minorBidi"/>
                <w:b/>
                <w:bCs/>
                <w:color w:val="auto"/>
                <w:sz w:val="22"/>
                <w:szCs w:val="22"/>
              </w:rPr>
            </w:pPr>
          </w:p>
        </w:tc>
        <w:tc>
          <w:tcPr>
            <w:tcW w:w="2089" w:type="pct"/>
          </w:tcPr>
          <w:p w14:paraId="538BACE0" w14:textId="77777777" w:rsidR="00DD04BD" w:rsidRPr="00D15BCA" w:rsidRDefault="00DD04BD" w:rsidP="00D15BCA">
            <w:pPr>
              <w:pStyle w:val="ListParagraph"/>
              <w:spacing w:after="60"/>
              <w:ind w:left="360" w:right="-110" w:firstLine="0"/>
              <w:contextualSpacing w:val="0"/>
              <w:rPr>
                <w:rFonts w:eastAsiaTheme="minorHAnsi" w:cstheme="minorBidi"/>
                <w:b/>
                <w:bCs/>
                <w:color w:val="auto"/>
                <w:sz w:val="22"/>
                <w:szCs w:val="22"/>
              </w:rPr>
            </w:pPr>
          </w:p>
        </w:tc>
        <w:tc>
          <w:tcPr>
            <w:tcW w:w="1489" w:type="pct"/>
          </w:tcPr>
          <w:p w14:paraId="56A949CF" w14:textId="77777777" w:rsidR="00DD04BD" w:rsidRPr="00D15BCA" w:rsidRDefault="00DD04BD" w:rsidP="00D15BCA">
            <w:pPr>
              <w:pStyle w:val="ListParagraph"/>
              <w:spacing w:after="60"/>
              <w:ind w:left="360" w:right="-110" w:firstLine="0"/>
              <w:contextualSpacing w:val="0"/>
              <w:rPr>
                <w:rFonts w:eastAsiaTheme="minorHAnsi" w:cstheme="minorBidi"/>
                <w:b/>
                <w:bCs/>
                <w:color w:val="auto"/>
                <w:sz w:val="22"/>
                <w:szCs w:val="22"/>
              </w:rPr>
            </w:pPr>
          </w:p>
        </w:tc>
      </w:tr>
      <w:tr w:rsidR="00DD04BD" w:rsidRPr="0094713B" w14:paraId="7396F558" w14:textId="77777777" w:rsidTr="00D15BCA">
        <w:trPr>
          <w:cantSplit/>
        </w:trPr>
        <w:tc>
          <w:tcPr>
            <w:tcW w:w="1422" w:type="pct"/>
            <w:vAlign w:val="center"/>
          </w:tcPr>
          <w:p w14:paraId="65571082" w14:textId="77777777" w:rsidR="00DD04BD" w:rsidRPr="0094713B" w:rsidRDefault="00DD04BD" w:rsidP="00D15BCA">
            <w:pPr>
              <w:spacing w:before="60" w:after="60" w:line="264" w:lineRule="auto"/>
              <w:ind w:right="-110"/>
              <w:rPr>
                <w:rFonts w:eastAsiaTheme="minorHAnsi" w:cstheme="minorBidi"/>
                <w:b/>
                <w:bCs/>
                <w:color w:val="auto"/>
                <w:sz w:val="22"/>
                <w:szCs w:val="22"/>
              </w:rPr>
            </w:pPr>
          </w:p>
        </w:tc>
        <w:tc>
          <w:tcPr>
            <w:tcW w:w="2089" w:type="pct"/>
          </w:tcPr>
          <w:p w14:paraId="654C99D9" w14:textId="77777777" w:rsidR="00DD04BD" w:rsidRPr="00D15BCA" w:rsidRDefault="00DD04BD" w:rsidP="00D15BCA">
            <w:pPr>
              <w:spacing w:after="60"/>
              <w:ind w:right="-110"/>
              <w:rPr>
                <w:rFonts w:eastAsiaTheme="minorHAnsi" w:cstheme="minorBidi"/>
                <w:b/>
                <w:bCs/>
                <w:color w:val="auto"/>
                <w:sz w:val="22"/>
                <w:szCs w:val="22"/>
              </w:rPr>
            </w:pPr>
          </w:p>
        </w:tc>
        <w:tc>
          <w:tcPr>
            <w:tcW w:w="1489" w:type="pct"/>
          </w:tcPr>
          <w:p w14:paraId="43513479" w14:textId="128931F0" w:rsidR="00DD04BD" w:rsidRPr="00D15BCA" w:rsidRDefault="00DD04BD" w:rsidP="00D15BCA">
            <w:pPr>
              <w:spacing w:after="60"/>
              <w:ind w:left="0" w:right="-110" w:firstLine="0"/>
              <w:rPr>
                <w:rFonts w:eastAsiaTheme="minorHAnsi" w:cstheme="minorBidi"/>
                <w:b/>
                <w:bCs/>
                <w:color w:val="auto"/>
                <w:sz w:val="22"/>
                <w:szCs w:val="22"/>
              </w:rPr>
            </w:pPr>
          </w:p>
        </w:tc>
      </w:tr>
      <w:tr w:rsidR="00DD04BD" w:rsidRPr="0094713B" w14:paraId="40733508" w14:textId="77777777" w:rsidTr="00D15BCA">
        <w:trPr>
          <w:cantSplit/>
          <w:trHeight w:val="64"/>
        </w:trPr>
        <w:tc>
          <w:tcPr>
            <w:tcW w:w="1422" w:type="pct"/>
            <w:vAlign w:val="center"/>
          </w:tcPr>
          <w:p w14:paraId="113CC971" w14:textId="1CA972C6" w:rsidR="00DD04BD" w:rsidRPr="00D15BCA" w:rsidRDefault="00DD04BD" w:rsidP="00D15BCA">
            <w:pPr>
              <w:spacing w:before="60" w:after="60" w:line="264" w:lineRule="auto"/>
              <w:ind w:right="-110"/>
              <w:rPr>
                <w:rFonts w:eastAsiaTheme="minorHAnsi" w:cstheme="minorBidi"/>
                <w:b/>
                <w:bCs/>
                <w:color w:val="auto"/>
                <w:sz w:val="22"/>
                <w:szCs w:val="22"/>
              </w:rPr>
            </w:pPr>
          </w:p>
        </w:tc>
        <w:tc>
          <w:tcPr>
            <w:tcW w:w="2089" w:type="pct"/>
          </w:tcPr>
          <w:p w14:paraId="07D49929" w14:textId="344D830E" w:rsidR="00DD04BD" w:rsidRPr="00D15BCA" w:rsidRDefault="00DD04BD" w:rsidP="00D15BCA">
            <w:pPr>
              <w:spacing w:after="60"/>
              <w:ind w:right="-110"/>
              <w:rPr>
                <w:rFonts w:eastAsiaTheme="minorHAnsi" w:cstheme="minorBidi"/>
                <w:b/>
                <w:bCs/>
                <w:color w:val="auto"/>
                <w:sz w:val="22"/>
                <w:szCs w:val="22"/>
              </w:rPr>
            </w:pPr>
          </w:p>
        </w:tc>
        <w:tc>
          <w:tcPr>
            <w:tcW w:w="1489" w:type="pct"/>
          </w:tcPr>
          <w:p w14:paraId="18BAA30D" w14:textId="77777777" w:rsidR="00DD04BD" w:rsidRPr="00D15BCA" w:rsidRDefault="00DD04BD" w:rsidP="00D15BCA">
            <w:pPr>
              <w:pStyle w:val="ListParagraph"/>
              <w:spacing w:after="60"/>
              <w:ind w:left="318" w:right="-110"/>
              <w:contextualSpacing w:val="0"/>
              <w:rPr>
                <w:rFonts w:eastAsiaTheme="minorHAnsi" w:cstheme="minorBidi"/>
                <w:b/>
                <w:bCs/>
                <w:color w:val="auto"/>
                <w:sz w:val="22"/>
                <w:szCs w:val="22"/>
              </w:rPr>
            </w:pPr>
          </w:p>
        </w:tc>
      </w:tr>
    </w:tbl>
    <w:p w14:paraId="1EC64608" w14:textId="77777777" w:rsidR="002B7042" w:rsidRDefault="002B7042"/>
    <w:sectPr w:rsidR="002B7042" w:rsidSect="00D1714B">
      <w:footerReference w:type="default" r:id="rId17"/>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7BCD5" w14:textId="77777777" w:rsidR="00A30785" w:rsidRDefault="00A30785" w:rsidP="00DD04BD">
      <w:r>
        <w:separator/>
      </w:r>
    </w:p>
  </w:endnote>
  <w:endnote w:type="continuationSeparator" w:id="0">
    <w:p w14:paraId="17024716" w14:textId="77777777" w:rsidR="00A30785" w:rsidRDefault="00A30785" w:rsidP="00DD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202910"/>
      <w:docPartObj>
        <w:docPartGallery w:val="Page Numbers (Bottom of Page)"/>
        <w:docPartUnique/>
      </w:docPartObj>
    </w:sdtPr>
    <w:sdtEndPr>
      <w:rPr>
        <w:noProof/>
      </w:rPr>
    </w:sdtEndPr>
    <w:sdtContent>
      <w:p w14:paraId="56736ED8" w14:textId="5B430328" w:rsidR="00DD04BD" w:rsidRDefault="00DD04BD">
        <w:pPr>
          <w:pStyle w:val="Footer"/>
          <w:jc w:val="right"/>
        </w:pPr>
        <w:r>
          <w:fldChar w:fldCharType="begin"/>
        </w:r>
        <w:r>
          <w:instrText xml:space="preserve"> PAGE   \* MERGEFORMAT </w:instrText>
        </w:r>
        <w:r>
          <w:fldChar w:fldCharType="separate"/>
        </w:r>
        <w:r w:rsidR="0086562B">
          <w:rPr>
            <w:noProof/>
          </w:rPr>
          <w:t>1</w:t>
        </w:r>
        <w:r>
          <w:rPr>
            <w:noProof/>
          </w:rPr>
          <w:fldChar w:fldCharType="end"/>
        </w:r>
      </w:p>
    </w:sdtContent>
  </w:sdt>
  <w:p w14:paraId="2AAE3A47" w14:textId="77777777" w:rsidR="00DD04BD" w:rsidRDefault="00DD0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1EF99" w14:textId="77777777" w:rsidR="00A30785" w:rsidRDefault="00A30785" w:rsidP="00DD04BD">
      <w:r>
        <w:separator/>
      </w:r>
    </w:p>
  </w:footnote>
  <w:footnote w:type="continuationSeparator" w:id="0">
    <w:p w14:paraId="57AF8926" w14:textId="77777777" w:rsidR="00A30785" w:rsidRDefault="00A30785" w:rsidP="00DD0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657"/>
    <w:multiLevelType w:val="hybridMultilevel"/>
    <w:tmpl w:val="46629F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27A33CE"/>
    <w:multiLevelType w:val="hybridMultilevel"/>
    <w:tmpl w:val="5FD02FF2"/>
    <w:lvl w:ilvl="0" w:tplc="9FD66056">
      <w:start w:val="1"/>
      <w:numFmt w:val="non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C0FCC"/>
    <w:multiLevelType w:val="hybridMultilevel"/>
    <w:tmpl w:val="8786AB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4EE57F6"/>
    <w:multiLevelType w:val="hybridMultilevel"/>
    <w:tmpl w:val="A2BEEE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54F4B2C"/>
    <w:multiLevelType w:val="hybridMultilevel"/>
    <w:tmpl w:val="CF14DD54"/>
    <w:lvl w:ilvl="0" w:tplc="F5DA33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8B46B7"/>
    <w:multiLevelType w:val="hybridMultilevel"/>
    <w:tmpl w:val="21D0A366"/>
    <w:lvl w:ilvl="0" w:tplc="9FD66056">
      <w:start w:val="1"/>
      <w:numFmt w:val="none"/>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0CCA4804"/>
    <w:multiLevelType w:val="hybridMultilevel"/>
    <w:tmpl w:val="93103C76"/>
    <w:lvl w:ilvl="0" w:tplc="3FEA4D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A65275"/>
    <w:multiLevelType w:val="hybridMultilevel"/>
    <w:tmpl w:val="4E96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93E1C"/>
    <w:multiLevelType w:val="hybridMultilevel"/>
    <w:tmpl w:val="C4A21E1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2851A40"/>
    <w:multiLevelType w:val="hybridMultilevel"/>
    <w:tmpl w:val="973C5CC6"/>
    <w:lvl w:ilvl="0" w:tplc="F5DA3324">
      <w:start w:val="1"/>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0" w15:restartNumberingAfterBreak="0">
    <w:nsid w:val="18E83DEA"/>
    <w:multiLevelType w:val="hybridMultilevel"/>
    <w:tmpl w:val="2258E6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9B27862"/>
    <w:multiLevelType w:val="hybridMultilevel"/>
    <w:tmpl w:val="84DC4C8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1B5C5382"/>
    <w:multiLevelType w:val="hybridMultilevel"/>
    <w:tmpl w:val="6FD47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9713FF"/>
    <w:multiLevelType w:val="hybridMultilevel"/>
    <w:tmpl w:val="6CD6A5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FBD3D4F"/>
    <w:multiLevelType w:val="hybridMultilevel"/>
    <w:tmpl w:val="463C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C869B0"/>
    <w:multiLevelType w:val="hybridMultilevel"/>
    <w:tmpl w:val="8D42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0855C6"/>
    <w:multiLevelType w:val="hybridMultilevel"/>
    <w:tmpl w:val="BC16430A"/>
    <w:lvl w:ilvl="0" w:tplc="F5DA3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206A56"/>
    <w:multiLevelType w:val="hybridMultilevel"/>
    <w:tmpl w:val="F1A865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7D3072C"/>
    <w:multiLevelType w:val="hybridMultilevel"/>
    <w:tmpl w:val="D91CBC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183782"/>
    <w:multiLevelType w:val="hybridMultilevel"/>
    <w:tmpl w:val="79FC34C2"/>
    <w:lvl w:ilvl="0" w:tplc="9FD66056">
      <w:start w:val="1"/>
      <w:numFmt w:val="non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C6566"/>
    <w:multiLevelType w:val="hybridMultilevel"/>
    <w:tmpl w:val="73DEA970"/>
    <w:lvl w:ilvl="0" w:tplc="3FEA4D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A1221C"/>
    <w:multiLevelType w:val="hybridMultilevel"/>
    <w:tmpl w:val="78A86040"/>
    <w:lvl w:ilvl="0" w:tplc="1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0A5840"/>
    <w:multiLevelType w:val="hybridMultilevel"/>
    <w:tmpl w:val="C8C25132"/>
    <w:lvl w:ilvl="0" w:tplc="F5DA3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30E1A"/>
    <w:multiLevelType w:val="hybridMultilevel"/>
    <w:tmpl w:val="DA48902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40DB5FA4"/>
    <w:multiLevelType w:val="hybridMultilevel"/>
    <w:tmpl w:val="3790D9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1EE154B"/>
    <w:multiLevelType w:val="hybridMultilevel"/>
    <w:tmpl w:val="EC064484"/>
    <w:lvl w:ilvl="0" w:tplc="3FEA4D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945450"/>
    <w:multiLevelType w:val="hybridMultilevel"/>
    <w:tmpl w:val="7C3A5092"/>
    <w:lvl w:ilvl="0" w:tplc="9FD66056">
      <w:start w:val="1"/>
      <w:numFmt w:val="non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746D51"/>
    <w:multiLevelType w:val="hybridMultilevel"/>
    <w:tmpl w:val="5BB21C4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4A3E5F66"/>
    <w:multiLevelType w:val="hybridMultilevel"/>
    <w:tmpl w:val="457ACF6E"/>
    <w:lvl w:ilvl="0" w:tplc="F5DA3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7940DA"/>
    <w:multiLevelType w:val="hybridMultilevel"/>
    <w:tmpl w:val="BB90256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4CC01E01"/>
    <w:multiLevelType w:val="hybridMultilevel"/>
    <w:tmpl w:val="BBD459D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51573CF6"/>
    <w:multiLevelType w:val="hybridMultilevel"/>
    <w:tmpl w:val="C12064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28F706B"/>
    <w:multiLevelType w:val="hybridMultilevel"/>
    <w:tmpl w:val="FA6EF13A"/>
    <w:lvl w:ilvl="0" w:tplc="9FD66056">
      <w:start w:val="1"/>
      <w:numFmt w:val="non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CF15A0"/>
    <w:multiLevelType w:val="hybridMultilevel"/>
    <w:tmpl w:val="DA569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A04DCE"/>
    <w:multiLevelType w:val="hybridMultilevel"/>
    <w:tmpl w:val="D91CBC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78721D"/>
    <w:multiLevelType w:val="hybridMultilevel"/>
    <w:tmpl w:val="47760A5C"/>
    <w:lvl w:ilvl="0" w:tplc="3FEA4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82995"/>
    <w:multiLevelType w:val="hybridMultilevel"/>
    <w:tmpl w:val="0840D3A2"/>
    <w:lvl w:ilvl="0" w:tplc="F5DA3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453DE"/>
    <w:multiLevelType w:val="hybridMultilevel"/>
    <w:tmpl w:val="0324C84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6CA30445"/>
    <w:multiLevelType w:val="hybridMultilevel"/>
    <w:tmpl w:val="DA3CE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533E59"/>
    <w:multiLevelType w:val="hybridMultilevel"/>
    <w:tmpl w:val="FD0EA9C8"/>
    <w:lvl w:ilvl="0" w:tplc="1409000F">
      <w:start w:val="1"/>
      <w:numFmt w:val="decimal"/>
      <w:lvlText w:val="%1."/>
      <w:lvlJc w:val="left"/>
      <w:pPr>
        <w:ind w:left="927" w:hanging="360"/>
      </w:p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0" w15:restartNumberingAfterBreak="0">
    <w:nsid w:val="754816CC"/>
    <w:multiLevelType w:val="hybridMultilevel"/>
    <w:tmpl w:val="CF14DD54"/>
    <w:lvl w:ilvl="0" w:tplc="F5DA33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034DD1"/>
    <w:multiLevelType w:val="hybridMultilevel"/>
    <w:tmpl w:val="02C817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502103"/>
    <w:multiLevelType w:val="hybridMultilevel"/>
    <w:tmpl w:val="5C882B64"/>
    <w:lvl w:ilvl="0" w:tplc="9FD66056">
      <w:start w:val="1"/>
      <w:numFmt w:val="non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D07AD4"/>
    <w:multiLevelType w:val="hybridMultilevel"/>
    <w:tmpl w:val="C420A230"/>
    <w:lvl w:ilvl="0" w:tplc="3FEA4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77528"/>
    <w:multiLevelType w:val="hybridMultilevel"/>
    <w:tmpl w:val="C7A8F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4"/>
  </w:num>
  <w:num w:numId="2">
    <w:abstractNumId w:val="39"/>
  </w:num>
  <w:num w:numId="3">
    <w:abstractNumId w:val="0"/>
  </w:num>
  <w:num w:numId="4">
    <w:abstractNumId w:val="10"/>
  </w:num>
  <w:num w:numId="5">
    <w:abstractNumId w:val="13"/>
  </w:num>
  <w:num w:numId="6">
    <w:abstractNumId w:val="17"/>
  </w:num>
  <w:num w:numId="7">
    <w:abstractNumId w:val="30"/>
  </w:num>
  <w:num w:numId="8">
    <w:abstractNumId w:val="31"/>
  </w:num>
  <w:num w:numId="9">
    <w:abstractNumId w:val="24"/>
  </w:num>
  <w:num w:numId="10">
    <w:abstractNumId w:val="2"/>
  </w:num>
  <w:num w:numId="11">
    <w:abstractNumId w:val="11"/>
  </w:num>
  <w:num w:numId="12">
    <w:abstractNumId w:val="37"/>
  </w:num>
  <w:num w:numId="13">
    <w:abstractNumId w:val="43"/>
  </w:num>
  <w:num w:numId="14">
    <w:abstractNumId w:val="8"/>
  </w:num>
  <w:num w:numId="15">
    <w:abstractNumId w:val="23"/>
  </w:num>
  <w:num w:numId="16">
    <w:abstractNumId w:val="27"/>
  </w:num>
  <w:num w:numId="17">
    <w:abstractNumId w:val="5"/>
  </w:num>
  <w:num w:numId="18">
    <w:abstractNumId w:val="6"/>
  </w:num>
  <w:num w:numId="19">
    <w:abstractNumId w:val="25"/>
  </w:num>
  <w:num w:numId="20">
    <w:abstractNumId w:val="29"/>
  </w:num>
  <w:num w:numId="21">
    <w:abstractNumId w:val="7"/>
  </w:num>
  <w:num w:numId="22">
    <w:abstractNumId w:val="21"/>
  </w:num>
  <w:num w:numId="23">
    <w:abstractNumId w:val="35"/>
  </w:num>
  <w:num w:numId="24">
    <w:abstractNumId w:val="38"/>
  </w:num>
  <w:num w:numId="25">
    <w:abstractNumId w:val="15"/>
  </w:num>
  <w:num w:numId="26">
    <w:abstractNumId w:val="33"/>
  </w:num>
  <w:num w:numId="27">
    <w:abstractNumId w:val="41"/>
  </w:num>
  <w:num w:numId="28">
    <w:abstractNumId w:val="34"/>
  </w:num>
  <w:num w:numId="29">
    <w:abstractNumId w:val="20"/>
  </w:num>
  <w:num w:numId="30">
    <w:abstractNumId w:val="12"/>
  </w:num>
  <w:num w:numId="31">
    <w:abstractNumId w:val="14"/>
  </w:num>
  <w:num w:numId="32">
    <w:abstractNumId w:val="32"/>
  </w:num>
  <w:num w:numId="33">
    <w:abstractNumId w:val="19"/>
  </w:num>
  <w:num w:numId="34">
    <w:abstractNumId w:val="42"/>
  </w:num>
  <w:num w:numId="35">
    <w:abstractNumId w:val="26"/>
  </w:num>
  <w:num w:numId="36">
    <w:abstractNumId w:val="1"/>
  </w:num>
  <w:num w:numId="37">
    <w:abstractNumId w:val="22"/>
  </w:num>
  <w:num w:numId="38">
    <w:abstractNumId w:val="28"/>
  </w:num>
  <w:num w:numId="39">
    <w:abstractNumId w:val="36"/>
  </w:num>
  <w:num w:numId="40">
    <w:abstractNumId w:val="40"/>
  </w:num>
  <w:num w:numId="41">
    <w:abstractNumId w:val="9"/>
  </w:num>
  <w:num w:numId="42">
    <w:abstractNumId w:val="4"/>
  </w:num>
  <w:num w:numId="43">
    <w:abstractNumId w:val="16"/>
  </w:num>
  <w:num w:numId="44">
    <w:abstractNumId w:val="1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3B"/>
    <w:rsid w:val="00001D7A"/>
    <w:rsid w:val="0002622C"/>
    <w:rsid w:val="00030A4A"/>
    <w:rsid w:val="00040F37"/>
    <w:rsid w:val="0004319E"/>
    <w:rsid w:val="00044749"/>
    <w:rsid w:val="0006690F"/>
    <w:rsid w:val="000A327E"/>
    <w:rsid w:val="000A4F07"/>
    <w:rsid w:val="000B103A"/>
    <w:rsid w:val="000E0375"/>
    <w:rsid w:val="000E359A"/>
    <w:rsid w:val="00122FAA"/>
    <w:rsid w:val="0013156B"/>
    <w:rsid w:val="00146722"/>
    <w:rsid w:val="001B7B32"/>
    <w:rsid w:val="001C5F38"/>
    <w:rsid w:val="001D5DFF"/>
    <w:rsid w:val="002028F7"/>
    <w:rsid w:val="00211B6C"/>
    <w:rsid w:val="00241CFD"/>
    <w:rsid w:val="00267394"/>
    <w:rsid w:val="002B7042"/>
    <w:rsid w:val="002F6EDE"/>
    <w:rsid w:val="00345C8F"/>
    <w:rsid w:val="00393384"/>
    <w:rsid w:val="003C5E11"/>
    <w:rsid w:val="003E1F01"/>
    <w:rsid w:val="003F6BCA"/>
    <w:rsid w:val="00436F9E"/>
    <w:rsid w:val="00454921"/>
    <w:rsid w:val="00473C31"/>
    <w:rsid w:val="004F1230"/>
    <w:rsid w:val="00503AE4"/>
    <w:rsid w:val="00520333"/>
    <w:rsid w:val="00524CF6"/>
    <w:rsid w:val="0056749C"/>
    <w:rsid w:val="0057095F"/>
    <w:rsid w:val="005A6594"/>
    <w:rsid w:val="0061653C"/>
    <w:rsid w:val="006227B2"/>
    <w:rsid w:val="00644D2E"/>
    <w:rsid w:val="006713D3"/>
    <w:rsid w:val="0067575A"/>
    <w:rsid w:val="006B2F71"/>
    <w:rsid w:val="006B3FDE"/>
    <w:rsid w:val="00730B6F"/>
    <w:rsid w:val="00756188"/>
    <w:rsid w:val="0076493E"/>
    <w:rsid w:val="00776577"/>
    <w:rsid w:val="00782F2E"/>
    <w:rsid w:val="00784519"/>
    <w:rsid w:val="007A7A18"/>
    <w:rsid w:val="007B46A2"/>
    <w:rsid w:val="007C5DAF"/>
    <w:rsid w:val="007D25C3"/>
    <w:rsid w:val="007E73EB"/>
    <w:rsid w:val="0081392B"/>
    <w:rsid w:val="00813F31"/>
    <w:rsid w:val="0083618D"/>
    <w:rsid w:val="00837A7F"/>
    <w:rsid w:val="00857FD7"/>
    <w:rsid w:val="0086562B"/>
    <w:rsid w:val="00873089"/>
    <w:rsid w:val="008E4CE9"/>
    <w:rsid w:val="008E5D34"/>
    <w:rsid w:val="008E608F"/>
    <w:rsid w:val="008F753D"/>
    <w:rsid w:val="009078EA"/>
    <w:rsid w:val="0092134C"/>
    <w:rsid w:val="00923666"/>
    <w:rsid w:val="009338D9"/>
    <w:rsid w:val="0094713B"/>
    <w:rsid w:val="00986D3F"/>
    <w:rsid w:val="00A01913"/>
    <w:rsid w:val="00A07EB9"/>
    <w:rsid w:val="00A30125"/>
    <w:rsid w:val="00A30785"/>
    <w:rsid w:val="00A57601"/>
    <w:rsid w:val="00A72DA0"/>
    <w:rsid w:val="00AC04DB"/>
    <w:rsid w:val="00AE1E6A"/>
    <w:rsid w:val="00AE61B2"/>
    <w:rsid w:val="00AF0E22"/>
    <w:rsid w:val="00B13036"/>
    <w:rsid w:val="00B34001"/>
    <w:rsid w:val="00B60C91"/>
    <w:rsid w:val="00BB6E8A"/>
    <w:rsid w:val="00C13825"/>
    <w:rsid w:val="00C2490F"/>
    <w:rsid w:val="00C452BD"/>
    <w:rsid w:val="00D04030"/>
    <w:rsid w:val="00D15BCA"/>
    <w:rsid w:val="00D1602D"/>
    <w:rsid w:val="00D1714B"/>
    <w:rsid w:val="00D17803"/>
    <w:rsid w:val="00D179AC"/>
    <w:rsid w:val="00D216E7"/>
    <w:rsid w:val="00D60321"/>
    <w:rsid w:val="00D72A2B"/>
    <w:rsid w:val="00D86EDD"/>
    <w:rsid w:val="00D9161E"/>
    <w:rsid w:val="00D93AD4"/>
    <w:rsid w:val="00DA44CE"/>
    <w:rsid w:val="00DB06EB"/>
    <w:rsid w:val="00DD04BD"/>
    <w:rsid w:val="00E0521C"/>
    <w:rsid w:val="00E450F5"/>
    <w:rsid w:val="00E57BAC"/>
    <w:rsid w:val="00E96F24"/>
    <w:rsid w:val="00F15816"/>
    <w:rsid w:val="00F4158C"/>
    <w:rsid w:val="00F752DA"/>
    <w:rsid w:val="00F97B5B"/>
    <w:rsid w:val="00FA2272"/>
    <w:rsid w:val="00FA49C0"/>
    <w:rsid w:val="00FB0CE5"/>
    <w:rsid w:val="00FC187C"/>
    <w:rsid w:val="00FD4AAE"/>
    <w:rsid w:val="00FE0654"/>
    <w:rsid w:val="00FE3862"/>
    <w:rsid w:val="00FE783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B35AA"/>
  <w15:docId w15:val="{ECAC99E1-A5BB-4ADF-9286-347BFF25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ind w:left="318" w:hanging="31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A2B"/>
    <w:rPr>
      <w:rFonts w:eastAsia="MS Mincho" w:cs="Times New Roman"/>
      <w:color w:val="000000" w:themeColor="text1"/>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13B"/>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13B"/>
    <w:pPr>
      <w:ind w:left="720"/>
      <w:contextualSpacing/>
    </w:pPr>
  </w:style>
  <w:style w:type="paragraph" w:customStyle="1" w:styleId="msolistparagraph0">
    <w:name w:val="msolistparagraph"/>
    <w:basedOn w:val="Normal"/>
    <w:rsid w:val="000E0375"/>
    <w:pPr>
      <w:ind w:left="720" w:firstLine="0"/>
    </w:pPr>
    <w:rPr>
      <w:rFonts w:ascii="Calibri" w:eastAsia="Calibri" w:hAnsi="Calibri"/>
      <w:color w:val="auto"/>
      <w:sz w:val="22"/>
      <w:szCs w:val="22"/>
      <w:lang w:val="en-AU" w:eastAsia="en-AU"/>
    </w:rPr>
  </w:style>
  <w:style w:type="character" w:styleId="Hyperlink">
    <w:name w:val="Hyperlink"/>
    <w:basedOn w:val="DefaultParagraphFont"/>
    <w:uiPriority w:val="99"/>
    <w:unhideWhenUsed/>
    <w:rsid w:val="002028F7"/>
    <w:rPr>
      <w:color w:val="0000FF" w:themeColor="hyperlink"/>
      <w:u w:val="single"/>
    </w:rPr>
  </w:style>
  <w:style w:type="paragraph" w:styleId="Header">
    <w:name w:val="header"/>
    <w:basedOn w:val="Normal"/>
    <w:link w:val="HeaderChar"/>
    <w:uiPriority w:val="99"/>
    <w:unhideWhenUsed/>
    <w:rsid w:val="00DD04BD"/>
    <w:pPr>
      <w:tabs>
        <w:tab w:val="center" w:pos="4513"/>
        <w:tab w:val="right" w:pos="9026"/>
      </w:tabs>
    </w:pPr>
  </w:style>
  <w:style w:type="character" w:customStyle="1" w:styleId="HeaderChar">
    <w:name w:val="Header Char"/>
    <w:basedOn w:val="DefaultParagraphFont"/>
    <w:link w:val="Header"/>
    <w:uiPriority w:val="99"/>
    <w:rsid w:val="00DD04BD"/>
    <w:rPr>
      <w:rFonts w:eastAsia="MS Mincho" w:cs="Times New Roman"/>
      <w:color w:val="000000" w:themeColor="text1"/>
      <w:sz w:val="18"/>
      <w:szCs w:val="20"/>
      <w:lang w:val="en-US"/>
    </w:rPr>
  </w:style>
  <w:style w:type="paragraph" w:styleId="Footer">
    <w:name w:val="footer"/>
    <w:basedOn w:val="Normal"/>
    <w:link w:val="FooterChar"/>
    <w:uiPriority w:val="99"/>
    <w:unhideWhenUsed/>
    <w:rsid w:val="00DD04BD"/>
    <w:pPr>
      <w:tabs>
        <w:tab w:val="center" w:pos="4513"/>
        <w:tab w:val="right" w:pos="9026"/>
      </w:tabs>
    </w:pPr>
  </w:style>
  <w:style w:type="character" w:customStyle="1" w:styleId="FooterChar">
    <w:name w:val="Footer Char"/>
    <w:basedOn w:val="DefaultParagraphFont"/>
    <w:link w:val="Footer"/>
    <w:uiPriority w:val="99"/>
    <w:rsid w:val="00DD04BD"/>
    <w:rPr>
      <w:rFonts w:eastAsia="MS Mincho" w:cs="Times New Roman"/>
      <w:color w:val="000000" w:themeColor="text1"/>
      <w:sz w:val="18"/>
      <w:szCs w:val="20"/>
      <w:lang w:val="en-US"/>
    </w:rPr>
  </w:style>
  <w:style w:type="paragraph" w:styleId="BalloonText">
    <w:name w:val="Balloon Text"/>
    <w:basedOn w:val="Normal"/>
    <w:link w:val="BalloonTextChar"/>
    <w:uiPriority w:val="99"/>
    <w:semiHidden/>
    <w:unhideWhenUsed/>
    <w:rsid w:val="00644D2E"/>
    <w:rPr>
      <w:rFonts w:ascii="Segoe UI" w:hAnsi="Segoe UI" w:cs="Segoe UI"/>
      <w:szCs w:val="18"/>
    </w:rPr>
  </w:style>
  <w:style w:type="character" w:customStyle="1" w:styleId="BalloonTextChar">
    <w:name w:val="Balloon Text Char"/>
    <w:basedOn w:val="DefaultParagraphFont"/>
    <w:link w:val="BalloonText"/>
    <w:uiPriority w:val="99"/>
    <w:semiHidden/>
    <w:rsid w:val="00644D2E"/>
    <w:rPr>
      <w:rFonts w:ascii="Segoe UI" w:eastAsia="MS Mincho"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FB0C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ec.govt.nz/funding/funding-and-performance/investment/investment-toolki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tec.govt.nz/funding/funding-and-performance/investment/plan-guidanc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ducation.govt.nz/further-education/policies-and-strategies/tertiary-education-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Other Document</p:Name>
  <p:Description/>
  <p:Statement/>
  <p:PolicyItems>
    <p:PolicyItem featureId="Microsoft.Office.RecordsManagement.PolicyFeatures.Expiration" staticId="0x010100B45D424F7CC3479BB24798043451495D006FE85AA3397447408CD48EA602BD273800259E5D852E7940979DA3290C6309B89A00885B81B3F9DFD841ACECAFBD460E8992|-1476004552" UniqueId="5d0e600c-d01f-46ac-a427-a6633cc5f89a">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180</number>
                  <property>Modified</property>
                  <propertyId>8c06beca-0777-48f7-91c7-6da68bc07b69</propertyId>
                  <period>days</period>
                </formula>
                <action type="action" id="Microsoft.Office.RecordsManagement.PolicyFeatures.Expiration.Action.SubmitFileMove" destnExplanation="Moved due to organisation policy." destnId="070e0e76-70b1-4d75-a7b1-a3d1173b9a7e" destnName="NorthTec(6012)" destnUrl="https://workspace2.tec.govt.nz/sites/MyArchive/6012/_vti_bin/officialfile.asmx"/>
              </data>
            </stages>
          </Schedule>
        </Schedules>
      </p:CustomData>
    </p:PolicyItem>
  </p:PolicyItems>
</p:Policy>
</file>

<file path=customXml/item3.xml><?xml version="1.0" encoding="utf-8"?>
<metadata xmlns="http://www.objective.com/ecm/document/metadata/DC4691BF00A443899034738234036697" version="1.0.0">
  <systemFields>
    <field name="Objective-Id">
      <value order="0">A1377422</value>
    </field>
    <field name="Objective-Title">
      <value order="0">Summary of Planned Shifts FINAL (26 Feb 2019)</value>
    </field>
    <field name="Objective-Description">
      <value order="0"/>
    </field>
    <field name="Objective-CreationStamp">
      <value order="0">2019-02-26T21:42:13Z</value>
    </field>
    <field name="Objective-IsApproved">
      <value order="0">false</value>
    </field>
    <field name="Objective-IsPublished">
      <value order="0">true</value>
    </field>
    <field name="Objective-DatePublished">
      <value order="0">2019-03-31T19:09:42Z</value>
    </field>
    <field name="Objective-ModificationStamp">
      <value order="0">2019-03-31T19:09:42Z</value>
    </field>
    <field name="Objective-Owner">
      <value order="0">Dan Haines Cohen</value>
    </field>
    <field name="Objective-Path">
      <value order="0">Objective Global Folder:TEC Global Folder:Investment Management:Investment Planning:2019 Investment Round:IV-S-2019 Investment Round- INVESTMENT TOOLKIT</value>
    </field>
    <field name="Objective-Parent">
      <value order="0">IV-S-2019 Investment Round- INVESTMENT TOOLKIT</value>
    </field>
    <field name="Objective-State">
      <value order="0">Published</value>
    </field>
    <field name="Objective-VersionId">
      <value order="0">vA3089119</value>
    </field>
    <field name="Objective-Version">
      <value order="0">6.0</value>
    </field>
    <field name="Objective-VersionNumber">
      <value order="0">7</value>
    </field>
    <field name="Objective-VersionComment">
      <value order="0"/>
    </field>
    <field name="Objective-FileNumber">
      <value order="0">qA92565</value>
    </field>
    <field name="Objective-Classification">
      <value order="0"/>
    </field>
    <field name="Objective-Caveats">
      <value order="0"/>
    </field>
  </systemFields>
  <catalogues>
    <catalogue name="Document Type Catalogue" type="type" ori="id:cA6">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4.xml><?xml version="1.0" encoding="utf-8"?>
<?mso-contentType ?>
<spe:Receivers xmlns:spe="http://schemas.microsoft.com/sharepoint/events">
  <Receiver>
    <Name/>
    <Synchronization>Asynchronous</Synchronization>
    <Type>10004</Type>
    <SequenceNumber>10000</SequenceNumber>
    <Url/>
    <Assembly>Tec.Workspace2.SharePoint.Ipi, Version=1.2.3.89, Culture=neutral, PublicKeyToken=408c228410acbb22</Assembly>
    <Class>Tec.Workspace2.SharePoint.Ipi.EventReceivers.TeoDocumentEventReceiver</Class>
    <Data/>
    <Filter/>
  </Receiver>
  <Receiver>
    <Name/>
    <Synchronization>Synchronous</Synchronization>
    <Type>2</Type>
    <SequenceNumber>10000</SequenceNumber>
    <Url/>
    <Assembly>Tec.Workspace2.SharePoint.Ipi, Version=1.2.3.89, Culture=neutral, PublicKeyToken=408c228410acbb22</Assembly>
    <Class>Tec.Workspace2.SharePoint.Ipi.EventReceivers.TeoDocumentEventReceiver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Other Document" ma:contentTypeID="0x010100B45D424F7CC3479BB24798043451495D006FE85AA3397447408CD48EA602BD273800259E5D852E7940979DA3290C6309B89A00885B81B3F9DFD841ACECAFBD460E8992" ma:contentTypeVersion="19" ma:contentTypeDescription="A content type for all other documents." ma:contentTypeScope="" ma:versionID="ef8333a53577ea147bcc73d296ff76b6">
  <xsd:schema xmlns:xsd="http://www.w3.org/2001/XMLSchema" xmlns:xs="http://www.w3.org/2001/XMLSchema" xmlns:p="http://schemas.microsoft.com/office/2006/metadata/properties" xmlns:ns1="http://schemas.microsoft.com/sharepoint/v3" xmlns:ns2="6508359f-3235-4f03-a46a-ebbb614bb601" targetNamespace="http://schemas.microsoft.com/office/2006/metadata/properties" ma:root="true" ma:fieldsID="84e82d9d3509148896de1a826cecb91a" ns1:_="" ns2:_="">
    <xsd:import namespace="http://schemas.microsoft.com/sharepoint/v3"/>
    <xsd:import namespace="6508359f-3235-4f03-a46a-ebbb614bb601"/>
    <xsd:element name="properties">
      <xsd:complexType>
        <xsd:sequence>
          <xsd:element name="documentManagement">
            <xsd:complexType>
              <xsd:all>
                <xsd:element ref="ns2:FundType" minOccurs="0"/>
                <xsd:element ref="ns2:FundYear" minOccurs="0"/>
                <xsd:element ref="ns2:IsDeleted" minOccurs="0"/>
                <xsd:element ref="ns2:IsSubmitte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08359f-3235-4f03-a46a-ebbb614bb601" elementFormDefault="qualified">
    <xsd:import namespace="http://schemas.microsoft.com/office/2006/documentManagement/types"/>
    <xsd:import namespace="http://schemas.microsoft.com/office/infopath/2007/PartnerControls"/>
    <xsd:element name="FundType" ma:index="8" nillable="true" ma:displayName="Fund" ma:description="Fund Name" ma:internalName="FundType">
      <xsd:simpleType>
        <xsd:restriction base="dms:Text"/>
      </xsd:simpleType>
    </xsd:element>
    <xsd:element name="FundYear" ma:index="9" nillable="true" ma:displayName="Fund Year" ma:description="Funding year." ma:internalName="FundYear">
      <xsd:simpleType>
        <xsd:restriction base="dms:Text"/>
      </xsd:simpleType>
    </xsd:element>
    <xsd:element name="IsDeleted" ma:index="10" nillable="true" ma:displayName="Is Deleted" ma:default="0" ma:hidden="true" ma:internalName="IsDeleted">
      <xsd:simpleType>
        <xsd:restriction base="dms:Boolean"/>
      </xsd:simpleType>
    </xsd:element>
    <xsd:element name="IsSubmitted" ma:index="11" nillable="true" ma:displayName="Is Submitted" ma:default="0" ma:hidden="true" ma:internalName="IsSubmit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sSubmitted xmlns="6508359f-3235-4f03-a46a-ebbb614bb601">false</IsSubmitted>
    <FundYear xmlns="6508359f-3235-4f03-a46a-ebbb614bb601">2017</FundYear>
    <IsDeleted xmlns="6508359f-3235-4f03-a46a-ebbb614bb601">false</IsDeleted>
    <FundType xmlns="6508359f-3235-4f03-a46a-ebbb614bb601" xsi:nil="true"/>
    <_dlc_ExpireDateSaved xmlns="http://schemas.microsoft.com/sharepoint/v3" xsi:nil="true"/>
    <_dlc_ExpireDate xmlns="http://schemas.microsoft.com/sharepoint/v3">2017-02-27T01:51:26+00:00</_dlc_ExpireDate>
  </documentManagement>
</p:properties>
</file>

<file path=customXml/itemProps1.xml><?xml version="1.0" encoding="utf-8"?>
<ds:datastoreItem xmlns:ds="http://schemas.openxmlformats.org/officeDocument/2006/customXml" ds:itemID="{3BFA8705-4710-425F-84D2-357B6E70EC4C}">
  <ds:schemaRefs>
    <ds:schemaRef ds:uri="http://schemas.microsoft.com/sharepoint/v3/contenttype/forms"/>
  </ds:schemaRefs>
</ds:datastoreItem>
</file>

<file path=customXml/itemProps2.xml><?xml version="1.0" encoding="utf-8"?>
<ds:datastoreItem xmlns:ds="http://schemas.openxmlformats.org/officeDocument/2006/customXml" ds:itemID="{2575091D-5C86-413F-BAA1-AF878D426016}">
  <ds:schemaRefs>
    <ds:schemaRef ds:uri="office.server.polic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4.xml><?xml version="1.0" encoding="utf-8"?>
<ds:datastoreItem xmlns:ds="http://schemas.openxmlformats.org/officeDocument/2006/customXml" ds:itemID="{E79675EC-7E7A-48D9-B1BB-B4744BB841A5}">
  <ds:schemaRefs>
    <ds:schemaRef ds:uri="http://schemas.microsoft.com/sharepoint/events"/>
  </ds:schemaRefs>
</ds:datastoreItem>
</file>

<file path=customXml/itemProps5.xml><?xml version="1.0" encoding="utf-8"?>
<ds:datastoreItem xmlns:ds="http://schemas.openxmlformats.org/officeDocument/2006/customXml" ds:itemID="{AB252CD3-CA95-4396-B8BC-BA7EE8892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08359f-3235-4f03-a46a-ebbb614bb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61CB58-26C5-435E-9640-A7D504C8AD6B}">
  <ds:schemaRefs>
    <ds:schemaRef ds:uri="http://schemas.microsoft.com/office/2006/documentManagement/types"/>
    <ds:schemaRef ds:uri="http://schemas.microsoft.com/office/2006/metadata/properties"/>
    <ds:schemaRef ds:uri="http://purl.org/dc/elements/1.1/"/>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6508359f-3235-4f03-a46a-ebbb614bb60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6012 NorthTec Tertiary Education Strategy Priority Commitments 2017-2018.docx</vt:lpstr>
    </vt:vector>
  </TitlesOfParts>
  <Company>Northtec</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6012 NorthTec Tertiary Education Strategy Priority Commitments 2017-2018.docx</dc:title>
  <dc:creator>TEC</dc:creator>
  <cp:lastModifiedBy>Carolyn Lankow</cp:lastModifiedBy>
  <cp:revision>3</cp:revision>
  <cp:lastPrinted>2019-03-04T02:09:00Z</cp:lastPrinted>
  <dcterms:created xsi:type="dcterms:W3CDTF">2019-03-31T20:01:00Z</dcterms:created>
  <dcterms:modified xsi:type="dcterms:W3CDTF">2019-03-31T20:02:00Z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0x010100B45D424F7CC3479BB24798043451495D006FE85AA3397447408CD48EA602BD273800259E5D852E7940979DA3290C6309B89A00885B81B3F9DFD841ACECAFBD460E8992</vt:lpwstr>
  </property>
  <property fmtid="{D5CDD505-2E9C-101B-9397-08002B2CF9AE}" pid="3" name="_dlc_policyId">
    <vt:lpwstr>0x010100B45D424F7CC3479BB24798043451495D006FE85AA3397447408CD48EA602BD273800259E5D852E7940979DA3290C6309B89A00885B81B3F9DFD841ACECAFBD460E8992|-1476004552</vt:lpwstr>
  </property>
  <property fmtid="{D5CDD505-2E9C-101B-9397-08002B2CF9AE}" pid="4" name="ItemRetentionFormula">
    <vt:lpwstr>&lt;formula id="Microsoft.Office.RecordsManagement.PolicyFeatures.Expiration.Formula.BuiltIn"&gt;&lt;number&gt;180&lt;/number&gt;&lt;property&gt;Modified&lt;/property&gt;&lt;propertyId&gt;8c06beca-0777-48f7-91c7-6da68bc07b69&lt;/propertyId&gt;&lt;period&gt;days&lt;/period&gt;&lt;/formula&gt;</vt:lpwstr>
  </property>
  <property fmtid="{D5CDD505-2E9C-101B-9397-08002B2CF9AE}" pid="5" name="Objective-Id">
    <vt:lpwstr>A1377422</vt:lpwstr>
  </property>
  <property fmtid="{D5CDD505-2E9C-101B-9397-08002B2CF9AE}" pid="6" name="Objective-Title">
    <vt:lpwstr>Summary of Planned Shifts FINAL (26 Feb 2019)</vt:lpwstr>
  </property>
  <property fmtid="{D5CDD505-2E9C-101B-9397-08002B2CF9AE}" pid="7" name="Objective-Description">
    <vt:lpwstr/>
  </property>
  <property fmtid="{D5CDD505-2E9C-101B-9397-08002B2CF9AE}" pid="8" name="Objective-CreationStamp">
    <vt:filetime>2019-02-26T21:42:32Z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2019-03-31T19:09:42Z</vt:filetime>
  </property>
  <property fmtid="{D5CDD505-2E9C-101B-9397-08002B2CF9AE}" pid="12" name="Objective-ModificationStamp">
    <vt:filetime>2019-03-31T19:09:42Z</vt:filetime>
  </property>
  <property fmtid="{D5CDD505-2E9C-101B-9397-08002B2CF9AE}" pid="13" name="Objective-Owner">
    <vt:lpwstr>Dan Haines Cohen</vt:lpwstr>
  </property>
  <property fmtid="{D5CDD505-2E9C-101B-9397-08002B2CF9AE}" pid="14" name="Objective-Path">
    <vt:lpwstr>Objective Global Folder:TEC Global Folder:Investment Management:Investment Planning:2019 Investment Round:IV-S-2019 Investment Round- INVESTMENT TOOLKIT:</vt:lpwstr>
  </property>
  <property fmtid="{D5CDD505-2E9C-101B-9397-08002B2CF9AE}" pid="15" name="Objective-Parent">
    <vt:lpwstr>IV-S-2019 Investment Round- INVESTMENT TOOLKIT</vt:lpwstr>
  </property>
  <property fmtid="{D5CDD505-2E9C-101B-9397-08002B2CF9AE}" pid="16" name="Objective-State">
    <vt:lpwstr>Published</vt:lpwstr>
  </property>
  <property fmtid="{D5CDD505-2E9C-101B-9397-08002B2CF9AE}" pid="17" name="Objective-VersionId">
    <vt:lpwstr>vA3089119</vt:lpwstr>
  </property>
  <property fmtid="{D5CDD505-2E9C-101B-9397-08002B2CF9AE}" pid="18" name="Objective-Version">
    <vt:lpwstr>6.0</vt:lpwstr>
  </property>
  <property fmtid="{D5CDD505-2E9C-101B-9397-08002B2CF9AE}" pid="19" name="Objective-VersionNumber">
    <vt:r8>7</vt:r8>
  </property>
  <property fmtid="{D5CDD505-2E9C-101B-9397-08002B2CF9AE}" pid="20" name="Objective-VersionComment">
    <vt:lpwstr/>
  </property>
  <property fmtid="{D5CDD505-2E9C-101B-9397-08002B2CF9AE}" pid="21" name="Objective-FileNumber">
    <vt:lpwstr>IV-P-17-02/18-0724</vt:lpwstr>
  </property>
  <property fmtid="{D5CDD505-2E9C-101B-9397-08002B2CF9AE}" pid="22" name="Objective-Classification">
    <vt:lpwstr>[Inherited - none]</vt:lpwstr>
  </property>
  <property fmtid="{D5CDD505-2E9C-101B-9397-08002B2CF9AE}" pid="23" name="Objective-Caveats">
    <vt:lpwstr/>
  </property>
  <property fmtid="{D5CDD505-2E9C-101B-9397-08002B2CF9AE}" pid="24" name="Objective-Fund Name">
    <vt:lpwstr/>
  </property>
  <property fmtid="{D5CDD505-2E9C-101B-9397-08002B2CF9AE}" pid="25" name="Objective-Sub Sector">
    <vt:lpwstr/>
  </property>
  <property fmtid="{D5CDD505-2E9C-101B-9397-08002B2CF9AE}" pid="26" name="Objective-Reference">
    <vt:lpwstr/>
  </property>
  <property fmtid="{D5CDD505-2E9C-101B-9397-08002B2CF9AE}" pid="27" name="Objective-Financial Year">
    <vt:lpwstr/>
  </property>
  <property fmtid="{D5CDD505-2E9C-101B-9397-08002B2CF9AE}" pid="28" name="Objective-EDUMIS Number">
    <vt:lpwstr/>
  </property>
  <property fmtid="{D5CDD505-2E9C-101B-9397-08002B2CF9AE}" pid="29" name="Objective-Action">
    <vt:lpwstr/>
  </property>
  <property fmtid="{D5CDD505-2E9C-101B-9397-08002B2CF9AE}" pid="30" name="Objective-Calendar Year">
    <vt:lpwstr/>
  </property>
  <property fmtid="{D5CDD505-2E9C-101B-9397-08002B2CF9AE}" pid="31" name="Objective-Date">
    <vt:lpwstr/>
  </property>
  <property fmtid="{D5CDD505-2E9C-101B-9397-08002B2CF9AE}" pid="32" name="Objective-Responsible">
    <vt:lpwstr/>
  </property>
  <property fmtid="{D5CDD505-2E9C-101B-9397-08002B2CF9AE}" pid="33" name="Objective-Comment">
    <vt:lpwstr/>
  </property>
  <property fmtid="{D5CDD505-2E9C-101B-9397-08002B2CF9AE}" pid="34" name="Objective-Reference [system]">
    <vt:lpwstr/>
  </property>
  <property fmtid="{D5CDD505-2E9C-101B-9397-08002B2CF9AE}" pid="35" name="Objective-Date [system]">
    <vt:lpwstr/>
  </property>
  <property fmtid="{D5CDD505-2E9C-101B-9397-08002B2CF9AE}" pid="36" name="Objective-Action [system]">
    <vt:lpwstr/>
  </property>
  <property fmtid="{D5CDD505-2E9C-101B-9397-08002B2CF9AE}" pid="37" name="Objective-Responsible [system]">
    <vt:lpwstr/>
  </property>
  <property fmtid="{D5CDD505-2E9C-101B-9397-08002B2CF9AE}" pid="38" name="Objective-Financial Year [system]">
    <vt:lpwstr/>
  </property>
  <property fmtid="{D5CDD505-2E9C-101B-9397-08002B2CF9AE}" pid="39" name="Objective-Calendar Year [system]">
    <vt:lpwstr/>
  </property>
  <property fmtid="{D5CDD505-2E9C-101B-9397-08002B2CF9AE}" pid="40" name="Objective-EDUMIS Number [system]">
    <vt:lpwstr/>
  </property>
  <property fmtid="{D5CDD505-2E9C-101B-9397-08002B2CF9AE}" pid="41" name="Objective-Sub Sector [system]">
    <vt:lpwstr/>
  </property>
  <property fmtid="{D5CDD505-2E9C-101B-9397-08002B2CF9AE}" pid="42" name="Objective-Fund Name [system]">
    <vt:lpwstr/>
  </property>
</Properties>
</file>