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B3E" w:rsidRPr="00E85E95" w:rsidRDefault="008A0F65" w:rsidP="001F1B3E">
      <w:pPr>
        <w:pStyle w:val="Heading1"/>
      </w:pPr>
      <w:r w:rsidRPr="008A0F65">
        <w:t>Fees-free</w:t>
      </w:r>
      <w:r w:rsidR="00635785">
        <w:rPr>
          <w:noProof/>
          <w:lang w:eastAsia="en-NZ"/>
        </w:rPr>
        <w:drawing>
          <wp:anchor distT="0" distB="0" distL="114300" distR="114300" simplePos="0" relativeHeight="251665408" behindDoc="0" locked="1" layoutInCell="1" allowOverlap="1" wp14:anchorId="239202BD" wp14:editId="337FD57E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5865" cy="2159635"/>
            <wp:effectExtent l="0" t="0" r="698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ple - Header - Internal Capability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info sheet:</w:t>
      </w:r>
      <w:r w:rsidRPr="008A0F65">
        <w:t xml:space="preserve"> </w:t>
      </w:r>
      <w:r w:rsidR="005C5B2F">
        <w:t>How</w:t>
      </w:r>
      <w:r>
        <w:t xml:space="preserve"> school learning programme</w:t>
      </w:r>
      <w:r w:rsidR="005C5B2F">
        <w:t>s</w:t>
      </w:r>
      <w:r>
        <w:t xml:space="preserve"> and</w:t>
      </w:r>
      <w:r w:rsidRPr="008A0F65">
        <w:t xml:space="preserve"> secondary-tertiary programme</w:t>
      </w:r>
      <w:r>
        <w:t xml:space="preserve">s </w:t>
      </w:r>
      <w:r w:rsidR="005C5B2F">
        <w:t>fit</w:t>
      </w:r>
      <w:r>
        <w:t xml:space="preserve"> within fees-free settings</w:t>
      </w:r>
    </w:p>
    <w:p w:rsidR="001F1B3E" w:rsidRDefault="0075558E" w:rsidP="001F1B3E">
      <w:pPr>
        <w:pStyle w:val="IntroText"/>
      </w:pPr>
      <w:r>
        <w:t>This document sets out how</w:t>
      </w:r>
      <w:r w:rsidR="008A0F65">
        <w:t xml:space="preserve"> </w:t>
      </w:r>
      <w:r w:rsidR="008A0F65" w:rsidRPr="008A0F65">
        <w:t>school learning programme</w:t>
      </w:r>
      <w:r>
        <w:t xml:space="preserve">s </w:t>
      </w:r>
      <w:r w:rsidR="008A0F65">
        <w:t xml:space="preserve">and </w:t>
      </w:r>
      <w:r w:rsidR="008A0F65" w:rsidRPr="008A0F65">
        <w:t>secondary-tertiary programme</w:t>
      </w:r>
      <w:r w:rsidR="008A0F65">
        <w:t>s work within fees-free settings.</w:t>
      </w:r>
    </w:p>
    <w:p w:rsidR="008A0F65" w:rsidRDefault="008A0F65" w:rsidP="001F1B3E">
      <w:pPr>
        <w:pStyle w:val="IntroText"/>
      </w:pPr>
      <w:r w:rsidRPr="00264583">
        <w:rPr>
          <w:b/>
        </w:rPr>
        <w:t xml:space="preserve">Applies to </w:t>
      </w:r>
      <w:r w:rsidR="00F70BDA">
        <w:rPr>
          <w:b/>
        </w:rPr>
        <w:t>2021</w:t>
      </w:r>
    </w:p>
    <w:p w:rsidR="008A0F65" w:rsidRDefault="008A0F65" w:rsidP="008A0F65">
      <w:pPr>
        <w:pStyle w:val="Heading2"/>
      </w:pPr>
      <w:r w:rsidRPr="008A0F65">
        <w:t xml:space="preserve">To be eligible for </w:t>
      </w:r>
      <w:r w:rsidR="00264583">
        <w:t>fees-free, a learner</w:t>
      </w:r>
      <w:r>
        <w:t xml:space="preserve"> must meet the </w:t>
      </w:r>
      <w:r w:rsidRPr="008A0F65">
        <w:t>prior study criteria</w:t>
      </w:r>
    </w:p>
    <w:p w:rsidR="00F70BDA" w:rsidRDefault="00F70BDA" w:rsidP="00F70BDA">
      <w:r>
        <w:t xml:space="preserve">To be eligible for Fees Free for provider-based tertiary education and industry training, a student or trainee must have either: </w:t>
      </w:r>
    </w:p>
    <w:p w:rsidR="00F70BDA" w:rsidRDefault="00F70BDA" w:rsidP="00F70BDA">
      <w:pPr>
        <w:pStyle w:val="ListParagraph"/>
        <w:numPr>
          <w:ilvl w:val="0"/>
          <w:numId w:val="25"/>
        </w:numPr>
      </w:pPr>
      <w:r>
        <w:t xml:space="preserve">been enrolled in a school in the current or preceding two calendar years other than as an </w:t>
      </w:r>
      <w:r>
        <w:rPr>
          <w:rStyle w:val="EndnoteReference"/>
        </w:rPr>
        <w:endnoteReference w:id="1"/>
      </w:r>
      <w:r>
        <w:t xml:space="preserve">adult student; or </w:t>
      </w:r>
    </w:p>
    <w:p w:rsidR="00F70BDA" w:rsidRDefault="00F70BDA" w:rsidP="00F70BDA">
      <w:pPr>
        <w:pStyle w:val="ListParagraph"/>
        <w:numPr>
          <w:ilvl w:val="0"/>
          <w:numId w:val="25"/>
        </w:numPr>
      </w:pPr>
      <w:proofErr w:type="gramStart"/>
      <w:r>
        <w:t>not</w:t>
      </w:r>
      <w:proofErr w:type="gramEnd"/>
      <w:r>
        <w:t xml:space="preserve"> undertaken more than half a year of equivalent full-time tertiary education (0.5 equivalent full-time student (EFTS) units or 60 credits) at Level 3 or above on the New Zealand Qualifications Framework (NZQF), including tertiary education at an equivalent level undertaken in any country. </w:t>
      </w:r>
    </w:p>
    <w:p w:rsidR="00F70BDA" w:rsidRDefault="00F70BDA" w:rsidP="00F70BDA"/>
    <w:p w:rsidR="00F70BDA" w:rsidRDefault="00F70BDA" w:rsidP="00F70BDA">
      <w:r>
        <w:t xml:space="preserve">The following credits must not be included in measures of prior tertiary education in when determining eligibility for Fees Free: </w:t>
      </w:r>
    </w:p>
    <w:p w:rsidR="00F70BDA" w:rsidRDefault="00F70BDA" w:rsidP="00F70BDA">
      <w:pPr>
        <w:pStyle w:val="ListParagraph"/>
        <w:numPr>
          <w:ilvl w:val="0"/>
          <w:numId w:val="26"/>
        </w:numPr>
      </w:pPr>
      <w:r>
        <w:t xml:space="preserve">any tertiary education undertaken while enrolled in school prior to 1 January 2019 (unless as an </w:t>
      </w:r>
      <w:r>
        <w:rPr>
          <w:rStyle w:val="FootnoteReference"/>
        </w:rPr>
        <w:footnoteReference w:id="1"/>
      </w:r>
      <w:r>
        <w:t xml:space="preserve">adult student); </w:t>
      </w:r>
    </w:p>
    <w:p w:rsidR="00F70BDA" w:rsidRDefault="00F70BDA" w:rsidP="00F70BDA">
      <w:pPr>
        <w:pStyle w:val="ListParagraph"/>
        <w:numPr>
          <w:ilvl w:val="0"/>
          <w:numId w:val="26"/>
        </w:numPr>
      </w:pPr>
      <w:r>
        <w:t xml:space="preserve">any tertiary courses undertaken as part of the student’s or trainee’s </w:t>
      </w:r>
      <w:r w:rsidRPr="00C67CFF">
        <w:rPr>
          <w:rStyle w:val="Hyperlink"/>
          <w:u w:val="none"/>
        </w:rPr>
        <w:t xml:space="preserve">school learning </w:t>
      </w:r>
      <w:bookmarkStart w:id="0" w:name="_GoBack"/>
      <w:bookmarkEnd w:id="0"/>
      <w:r w:rsidRPr="00C67CFF">
        <w:rPr>
          <w:rStyle w:val="Hyperlink"/>
          <w:u w:val="none"/>
        </w:rPr>
        <w:t>programme or secondary-tertiary programme</w:t>
      </w:r>
      <w:r>
        <w:t xml:space="preserve"> on or after 1 January 2019; </w:t>
      </w:r>
    </w:p>
    <w:p w:rsidR="00F70BDA" w:rsidRDefault="00F70BDA" w:rsidP="00F70BDA">
      <w:pPr>
        <w:pStyle w:val="ListParagraph"/>
        <w:numPr>
          <w:ilvl w:val="0"/>
          <w:numId w:val="26"/>
        </w:numPr>
      </w:pPr>
      <w:r>
        <w:t xml:space="preserve">any credits achieved as part of any industry training programme that consists of fewer than 120 credits that are reported after 1 January 2018; </w:t>
      </w:r>
    </w:p>
    <w:p w:rsidR="00F70BDA" w:rsidRDefault="00F70BDA" w:rsidP="00F70BDA">
      <w:pPr>
        <w:pStyle w:val="ListParagraph"/>
        <w:numPr>
          <w:ilvl w:val="0"/>
          <w:numId w:val="26"/>
        </w:numPr>
      </w:pPr>
      <w:r>
        <w:t xml:space="preserve">any tertiary study or training in respect of which fees support is provided through the TTAF; </w:t>
      </w:r>
    </w:p>
    <w:p w:rsidR="00F70BDA" w:rsidRDefault="00F70BDA" w:rsidP="00F70BDA">
      <w:pPr>
        <w:pStyle w:val="ListParagraph"/>
        <w:numPr>
          <w:ilvl w:val="0"/>
          <w:numId w:val="26"/>
        </w:numPr>
      </w:pPr>
      <w:r>
        <w:t xml:space="preserve">any tertiary study or training that is funded through the Youth Guarantee (YG) or Māori and Pasifika Trades Training (MPTT) fund after 1 July 2020; and </w:t>
      </w:r>
    </w:p>
    <w:p w:rsidR="00980FFC" w:rsidRDefault="00F70BDA" w:rsidP="00F70BDA">
      <w:pPr>
        <w:pStyle w:val="ListParagraph"/>
        <w:numPr>
          <w:ilvl w:val="0"/>
          <w:numId w:val="26"/>
        </w:numPr>
        <w:spacing w:after="200"/>
      </w:pPr>
      <w:proofErr w:type="gramStart"/>
      <w:r>
        <w:t>any</w:t>
      </w:r>
      <w:proofErr w:type="gramEnd"/>
      <w:r>
        <w:t xml:space="preserve"> tertiary study or training that is funded through the Refugee English Fund. </w:t>
      </w:r>
    </w:p>
    <w:p w:rsidR="008A0F65" w:rsidRDefault="008A0F65" w:rsidP="00980FFC">
      <w:pPr>
        <w:spacing w:after="200"/>
      </w:pPr>
      <w:r>
        <w:lastRenderedPageBreak/>
        <w:t xml:space="preserve">Defining </w:t>
      </w:r>
      <w:r w:rsidRPr="002308BE">
        <w:t xml:space="preserve">a </w:t>
      </w:r>
      <w:r>
        <w:t>“</w:t>
      </w:r>
      <w:r w:rsidRPr="002308BE">
        <w:t>school learning programme</w:t>
      </w:r>
      <w:r w:rsidR="00980FFC">
        <w:t xml:space="preserve"> (SLP)</w:t>
      </w:r>
      <w:r>
        <w:t>”</w:t>
      </w:r>
      <w:r w:rsidRPr="002308BE">
        <w:t xml:space="preserve"> and a </w:t>
      </w:r>
      <w:r>
        <w:t>“</w:t>
      </w:r>
      <w:r w:rsidRPr="002308BE">
        <w:t>secondary-tertiary programme</w:t>
      </w:r>
      <w:r w:rsidR="00980FFC">
        <w:t xml:space="preserve"> (STP)</w:t>
      </w:r>
      <w:r>
        <w:t>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3"/>
        <w:gridCol w:w="3396"/>
        <w:gridCol w:w="3409"/>
      </w:tblGrid>
      <w:tr w:rsidR="008A0F65" w:rsidTr="008A0F65">
        <w:tc>
          <w:tcPr>
            <w:tcW w:w="3472" w:type="dxa"/>
            <w:shd w:val="clear" w:color="auto" w:fill="EA9922" w:themeFill="text2"/>
          </w:tcPr>
          <w:p w:rsidR="008A0F65" w:rsidRDefault="008A0F65" w:rsidP="008A0F65">
            <w:pPr>
              <w:rPr>
                <w:lang w:eastAsia="en-US"/>
              </w:rPr>
            </w:pPr>
          </w:p>
        </w:tc>
        <w:tc>
          <w:tcPr>
            <w:tcW w:w="3471" w:type="dxa"/>
            <w:shd w:val="clear" w:color="auto" w:fill="EA9922" w:themeFill="text2"/>
          </w:tcPr>
          <w:p w:rsidR="008A0F65" w:rsidRPr="008A0F65" w:rsidRDefault="008A0F65" w:rsidP="008A0F65">
            <w:pPr>
              <w:rPr>
                <w:b/>
                <w:lang w:eastAsia="en-US"/>
              </w:rPr>
            </w:pPr>
            <w:r w:rsidRPr="008A0F65">
              <w:rPr>
                <w:b/>
                <w:lang w:eastAsia="en-US"/>
              </w:rPr>
              <w:t>School learning programme</w:t>
            </w:r>
          </w:p>
        </w:tc>
        <w:tc>
          <w:tcPr>
            <w:tcW w:w="3471" w:type="dxa"/>
            <w:shd w:val="clear" w:color="auto" w:fill="EA9922" w:themeFill="text2"/>
          </w:tcPr>
          <w:p w:rsidR="008A0F65" w:rsidRPr="008A0F65" w:rsidRDefault="008A0F65" w:rsidP="008A0F65">
            <w:pPr>
              <w:rPr>
                <w:b/>
                <w:lang w:eastAsia="en-US"/>
              </w:rPr>
            </w:pPr>
            <w:r w:rsidRPr="008A0F65">
              <w:rPr>
                <w:b/>
                <w:lang w:eastAsia="en-US"/>
              </w:rPr>
              <w:t>Secondary-tertiary programme</w:t>
            </w:r>
          </w:p>
        </w:tc>
      </w:tr>
      <w:tr w:rsidR="008A0F65" w:rsidTr="008A0F65">
        <w:tc>
          <w:tcPr>
            <w:tcW w:w="3472" w:type="dxa"/>
            <w:shd w:val="clear" w:color="auto" w:fill="D9D9D9" w:themeFill="background1" w:themeFillShade="D9"/>
          </w:tcPr>
          <w:p w:rsidR="008A0F65" w:rsidRPr="008A0F65" w:rsidRDefault="008A0F65" w:rsidP="008A0F65">
            <w:pPr>
              <w:rPr>
                <w:b/>
                <w:lang w:eastAsia="en-US"/>
              </w:rPr>
            </w:pPr>
            <w:r w:rsidRPr="008A0F65">
              <w:rPr>
                <w:b/>
                <w:lang w:eastAsia="en-US"/>
              </w:rPr>
              <w:t>Definition</w:t>
            </w:r>
          </w:p>
        </w:tc>
        <w:tc>
          <w:tcPr>
            <w:tcW w:w="3471" w:type="dxa"/>
          </w:tcPr>
          <w:p w:rsidR="008A0F65" w:rsidRDefault="008A0F65" w:rsidP="00E41A19">
            <w:pPr>
              <w:rPr>
                <w:lang w:eastAsia="en-US"/>
              </w:rPr>
            </w:pPr>
            <w:r w:rsidRPr="008A0F65">
              <w:rPr>
                <w:lang w:eastAsia="en-US"/>
              </w:rPr>
              <w:t xml:space="preserve">Any </w:t>
            </w:r>
            <w:r w:rsidR="00E41A19">
              <w:rPr>
                <w:lang w:eastAsia="en-US"/>
              </w:rPr>
              <w:t xml:space="preserve">school approved </w:t>
            </w:r>
            <w:r w:rsidRPr="008A0F65">
              <w:rPr>
                <w:lang w:eastAsia="en-US"/>
              </w:rPr>
              <w:t xml:space="preserve">study at level 3 or above on the </w:t>
            </w:r>
            <w:r>
              <w:rPr>
                <w:lang w:eastAsia="en-US"/>
              </w:rPr>
              <w:t>NZQF</w:t>
            </w:r>
            <w:r w:rsidRPr="008A0F65">
              <w:rPr>
                <w:lang w:eastAsia="en-US"/>
              </w:rPr>
              <w:t xml:space="preserve"> that a learner participates in while enrolled in </w:t>
            </w:r>
            <w:r w:rsidR="00E41A19">
              <w:rPr>
                <w:lang w:eastAsia="en-US"/>
              </w:rPr>
              <w:t xml:space="preserve">that </w:t>
            </w:r>
            <w:r w:rsidRPr="008A0F65">
              <w:rPr>
                <w:lang w:eastAsia="en-US"/>
              </w:rPr>
              <w:t>school</w:t>
            </w:r>
            <w:r w:rsidR="00E41A19">
              <w:rPr>
                <w:lang w:eastAsia="en-US"/>
              </w:rPr>
              <w:t>.</w:t>
            </w:r>
            <w:r w:rsidRPr="008A0F65">
              <w:rPr>
                <w:lang w:eastAsia="en-US"/>
              </w:rPr>
              <w:t xml:space="preserve"> This may include tertiary education</w:t>
            </w:r>
            <w:r w:rsidR="00E41A19">
              <w:rPr>
                <w:lang w:eastAsia="en-US"/>
              </w:rPr>
              <w:t xml:space="preserve"> and</w:t>
            </w:r>
            <w:r w:rsidRPr="008A0F65">
              <w:rPr>
                <w:lang w:eastAsia="en-US"/>
              </w:rPr>
              <w:t xml:space="preserve"> excludes s</w:t>
            </w:r>
            <w:r w:rsidR="005C5B2F">
              <w:rPr>
                <w:lang w:eastAsia="en-US"/>
              </w:rPr>
              <w:t>tudy done for personal interest</w:t>
            </w:r>
            <w:r>
              <w:rPr>
                <w:lang w:eastAsia="en-US"/>
              </w:rPr>
              <w:t xml:space="preserve"> not arranged through a school.</w:t>
            </w:r>
          </w:p>
        </w:tc>
        <w:tc>
          <w:tcPr>
            <w:tcW w:w="3471" w:type="dxa"/>
          </w:tcPr>
          <w:p w:rsidR="008A0F65" w:rsidRDefault="008A0F65" w:rsidP="008A0F65">
            <w:pPr>
              <w:rPr>
                <w:lang w:eastAsia="en-US"/>
              </w:rPr>
            </w:pPr>
            <w:r>
              <w:rPr>
                <w:lang w:eastAsia="en-US"/>
              </w:rPr>
              <w:t>“A full-time programme for a participating student that—</w:t>
            </w:r>
          </w:p>
          <w:p w:rsidR="008A0F65" w:rsidRDefault="00E41A19" w:rsidP="008A0F65">
            <w:pPr>
              <w:pStyle w:val="ListParagraph"/>
              <w:numPr>
                <w:ilvl w:val="0"/>
                <w:numId w:val="24"/>
              </w:numPr>
              <w:rPr>
                <w:lang w:eastAsia="en-US"/>
              </w:rPr>
            </w:pPr>
            <w:r>
              <w:rPr>
                <w:lang w:eastAsia="en-US"/>
              </w:rPr>
              <w:t>has</w:t>
            </w:r>
            <w:r w:rsidR="008A0F65">
              <w:rPr>
                <w:lang w:eastAsia="en-US"/>
              </w:rPr>
              <w:t xml:space="preserve"> a secondary component and a tertiary component; and</w:t>
            </w:r>
          </w:p>
          <w:p w:rsidR="008A0F65" w:rsidRDefault="008A0F65" w:rsidP="008A0F65">
            <w:pPr>
              <w:pStyle w:val="ListParagraph"/>
              <w:numPr>
                <w:ilvl w:val="0"/>
                <w:numId w:val="24"/>
              </w:num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is</w:t>
            </w:r>
            <w:proofErr w:type="gramEnd"/>
            <w:r>
              <w:rPr>
                <w:lang w:eastAsia="en-US"/>
              </w:rPr>
              <w:t xml:space="preserve"> co-ordinated by a provider group or a lead provider.”</w:t>
            </w:r>
            <w:r w:rsidR="00264583">
              <w:rPr>
                <w:rStyle w:val="FootnoteReference"/>
                <w:lang w:eastAsia="en-US"/>
              </w:rPr>
              <w:footnoteReference w:id="2"/>
            </w:r>
          </w:p>
        </w:tc>
      </w:tr>
      <w:tr w:rsidR="008A0F65" w:rsidTr="008A0F65">
        <w:tc>
          <w:tcPr>
            <w:tcW w:w="3472" w:type="dxa"/>
            <w:shd w:val="clear" w:color="auto" w:fill="D9D9D9" w:themeFill="background1" w:themeFillShade="D9"/>
          </w:tcPr>
          <w:p w:rsidR="008A0F65" w:rsidRPr="008A0F65" w:rsidRDefault="008A0F65" w:rsidP="008A0F65">
            <w:pPr>
              <w:rPr>
                <w:b/>
                <w:lang w:eastAsia="en-US"/>
              </w:rPr>
            </w:pPr>
            <w:r w:rsidRPr="008A0F65">
              <w:rPr>
                <w:b/>
                <w:lang w:eastAsia="en-US"/>
              </w:rPr>
              <w:t>Examples</w:t>
            </w:r>
          </w:p>
        </w:tc>
        <w:tc>
          <w:tcPr>
            <w:tcW w:w="3471" w:type="dxa"/>
          </w:tcPr>
          <w:p w:rsidR="008A0F65" w:rsidRDefault="008A0F65" w:rsidP="008A0F65">
            <w:pPr>
              <w:pStyle w:val="ListParagraph"/>
              <w:rPr>
                <w:lang w:eastAsia="en-US"/>
              </w:rPr>
            </w:pPr>
            <w:r>
              <w:rPr>
                <w:lang w:eastAsia="en-US"/>
              </w:rPr>
              <w:t>NCEA level 3 courses.</w:t>
            </w:r>
          </w:p>
          <w:p w:rsidR="008A0F65" w:rsidRDefault="008A0F65" w:rsidP="008A0F65">
            <w:pPr>
              <w:pStyle w:val="ListParagraph"/>
              <w:rPr>
                <w:lang w:eastAsia="en-US"/>
              </w:rPr>
            </w:pPr>
            <w:r>
              <w:rPr>
                <w:lang w:eastAsia="en-US"/>
              </w:rPr>
              <w:t>A learner is enrolled at a secondary school. They excel at maths; have completed NCEA levels 1, 2 and 3 maths and are now undertaking maths courses at university to support their learning requirements.</w:t>
            </w:r>
          </w:p>
        </w:tc>
        <w:tc>
          <w:tcPr>
            <w:tcW w:w="3471" w:type="dxa"/>
          </w:tcPr>
          <w:p w:rsidR="008A0F65" w:rsidRDefault="008A0F65" w:rsidP="008A0F65">
            <w:pPr>
              <w:pStyle w:val="ListParagraph"/>
              <w:rPr>
                <w:lang w:eastAsia="en-US"/>
              </w:rPr>
            </w:pPr>
            <w:r>
              <w:rPr>
                <w:lang w:eastAsia="en-US"/>
              </w:rPr>
              <w:t>Trades Academies</w:t>
            </w:r>
          </w:p>
          <w:p w:rsidR="008A0F65" w:rsidRDefault="008A0F65" w:rsidP="008A0F65">
            <w:pPr>
              <w:pStyle w:val="ListParagraph"/>
              <w:rPr>
                <w:lang w:eastAsia="en-US"/>
              </w:rPr>
            </w:pPr>
            <w:r>
              <w:rPr>
                <w:lang w:eastAsia="en-US"/>
              </w:rPr>
              <w:t>Gateway, and</w:t>
            </w:r>
          </w:p>
          <w:p w:rsidR="008A0F65" w:rsidRDefault="008A0F65" w:rsidP="008A0F65">
            <w:pPr>
              <w:pStyle w:val="ListParagrap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the</w:t>
            </w:r>
            <w:proofErr w:type="gramEnd"/>
            <w:r>
              <w:rPr>
                <w:lang w:eastAsia="en-US"/>
              </w:rPr>
              <w:t xml:space="preserve"> Secondary Tertiary Alignment Resource (STAR).</w:t>
            </w:r>
          </w:p>
        </w:tc>
      </w:tr>
      <w:tr w:rsidR="008A0F65" w:rsidTr="008A0F65">
        <w:tc>
          <w:tcPr>
            <w:tcW w:w="3472" w:type="dxa"/>
            <w:shd w:val="clear" w:color="auto" w:fill="D9D9D9" w:themeFill="background1" w:themeFillShade="D9"/>
          </w:tcPr>
          <w:p w:rsidR="008A0F65" w:rsidRPr="008A0F65" w:rsidRDefault="008A0F65" w:rsidP="008A0F65">
            <w:pPr>
              <w:rPr>
                <w:b/>
                <w:lang w:eastAsia="en-US"/>
              </w:rPr>
            </w:pPr>
            <w:r w:rsidRPr="008A0F65">
              <w:rPr>
                <w:b/>
                <w:lang w:eastAsia="en-US"/>
              </w:rPr>
              <w:t>How we identify if a learner is</w:t>
            </w:r>
            <w:r>
              <w:rPr>
                <w:b/>
                <w:lang w:eastAsia="en-US"/>
              </w:rPr>
              <w:t xml:space="preserve"> undertaking this type of study</w:t>
            </w:r>
          </w:p>
        </w:tc>
        <w:tc>
          <w:tcPr>
            <w:tcW w:w="3471" w:type="dxa"/>
          </w:tcPr>
          <w:p w:rsidR="008A0F65" w:rsidRDefault="008A0F65" w:rsidP="008A0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TEOs report these </w:t>
            </w:r>
            <w:r w:rsidRPr="008A0F65">
              <w:rPr>
                <w:lang w:eastAsia="en-US"/>
              </w:rPr>
              <w:t xml:space="preserve">courses as a </w:t>
            </w:r>
            <w:proofErr w:type="gramStart"/>
            <w:r w:rsidRPr="008A0F65">
              <w:rPr>
                <w:b/>
                <w:lang w:eastAsia="en-US"/>
              </w:rPr>
              <w:t>STP</w:t>
            </w:r>
            <w:r w:rsidRPr="008A0F65">
              <w:rPr>
                <w:lang w:eastAsia="en-US"/>
              </w:rPr>
              <w:t xml:space="preserve">  in</w:t>
            </w:r>
            <w:proofErr w:type="gramEnd"/>
            <w:r w:rsidRPr="008A0F65">
              <w:rPr>
                <w:lang w:eastAsia="en-US"/>
              </w:rPr>
              <w:t xml:space="preserve"> monthly </w:t>
            </w:r>
            <w:r w:rsidRPr="008A0F65">
              <w:rPr>
                <w:i/>
                <w:lang w:eastAsia="en-US"/>
              </w:rPr>
              <w:t>Fees Free All Enrolments and Costs</w:t>
            </w:r>
            <w:r w:rsidRPr="008A0F65">
              <w:rPr>
                <w:lang w:eastAsia="en-US"/>
              </w:rPr>
              <w:t xml:space="preserve"> returns using the non-standard fee field</w:t>
            </w:r>
            <w:r>
              <w:rPr>
                <w:lang w:eastAsia="en-US"/>
              </w:rPr>
              <w:t>.</w:t>
            </w:r>
          </w:p>
          <w:p w:rsidR="008A0F65" w:rsidRDefault="008A0F65" w:rsidP="008A0F65">
            <w:pPr>
              <w:rPr>
                <w:lang w:eastAsia="en-US"/>
              </w:rPr>
            </w:pPr>
            <w:r w:rsidRPr="008A0F65">
              <w:rPr>
                <w:lang w:eastAsia="en-US"/>
              </w:rPr>
              <w:t xml:space="preserve">There is no Source of Funding code for a school learning programme. As such, we can’t identify this type of study through the Single Data Return (SDR). We rely on the information you provide us in your monthly </w:t>
            </w:r>
            <w:r w:rsidRPr="008A0F65">
              <w:rPr>
                <w:i/>
                <w:lang w:eastAsia="en-US"/>
              </w:rPr>
              <w:t xml:space="preserve">Fees Free All Enrolments and Costs </w:t>
            </w:r>
            <w:r w:rsidRPr="008A0F65">
              <w:rPr>
                <w:lang w:eastAsia="en-US"/>
              </w:rPr>
              <w:t>return to identify where a learner is undertaking study as part of their school learning programme.</w:t>
            </w:r>
          </w:p>
        </w:tc>
        <w:tc>
          <w:tcPr>
            <w:tcW w:w="3471" w:type="dxa"/>
          </w:tcPr>
          <w:p w:rsidR="00F260AD" w:rsidRDefault="00F260AD" w:rsidP="00F260A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TEOs report these </w:t>
            </w:r>
            <w:r w:rsidRPr="008A0F65">
              <w:rPr>
                <w:lang w:eastAsia="en-US"/>
              </w:rPr>
              <w:t xml:space="preserve">courses as a </w:t>
            </w:r>
            <w:proofErr w:type="gramStart"/>
            <w:r w:rsidRPr="008A0F65">
              <w:rPr>
                <w:b/>
                <w:lang w:eastAsia="en-US"/>
              </w:rPr>
              <w:t>STP</w:t>
            </w:r>
            <w:r w:rsidRPr="008A0F65">
              <w:rPr>
                <w:lang w:eastAsia="en-US"/>
              </w:rPr>
              <w:t xml:space="preserve"> </w:t>
            </w:r>
            <w:r w:rsidR="00980FFC">
              <w:rPr>
                <w:lang w:eastAsia="en-US"/>
              </w:rPr>
              <w:t xml:space="preserve"> </w:t>
            </w:r>
            <w:r w:rsidRPr="008A0F65">
              <w:rPr>
                <w:lang w:eastAsia="en-US"/>
              </w:rPr>
              <w:t>in</w:t>
            </w:r>
            <w:proofErr w:type="gramEnd"/>
            <w:r w:rsidRPr="008A0F65">
              <w:rPr>
                <w:lang w:eastAsia="en-US"/>
              </w:rPr>
              <w:t xml:space="preserve"> monthly </w:t>
            </w:r>
            <w:r w:rsidRPr="008A0F65">
              <w:rPr>
                <w:i/>
                <w:lang w:eastAsia="en-US"/>
              </w:rPr>
              <w:t>Fees Free All Enrolments and Costs</w:t>
            </w:r>
            <w:r w:rsidRPr="008A0F65">
              <w:rPr>
                <w:lang w:eastAsia="en-US"/>
              </w:rPr>
              <w:t xml:space="preserve"> returns using the non-standard fee field</w:t>
            </w:r>
            <w:r>
              <w:rPr>
                <w:lang w:eastAsia="en-US"/>
              </w:rPr>
              <w:t>.</w:t>
            </w:r>
          </w:p>
          <w:p w:rsidR="00F260AD" w:rsidRDefault="00F260AD" w:rsidP="00F260AD">
            <w:pPr>
              <w:rPr>
                <w:lang w:eastAsia="en-US"/>
              </w:rPr>
            </w:pPr>
            <w:r w:rsidRPr="008A0F65">
              <w:rPr>
                <w:lang w:eastAsia="en-US"/>
              </w:rPr>
              <w:t>We</w:t>
            </w:r>
            <w:r>
              <w:rPr>
                <w:lang w:eastAsia="en-US"/>
              </w:rPr>
              <w:t xml:space="preserve"> can also double check some of these courses </w:t>
            </w:r>
            <w:r w:rsidRPr="008A0F65">
              <w:rPr>
                <w:lang w:eastAsia="en-US"/>
              </w:rPr>
              <w:t xml:space="preserve">through the Source of Funding code recorded in the </w:t>
            </w:r>
            <w:r>
              <w:rPr>
                <w:lang w:eastAsia="en-US"/>
              </w:rPr>
              <w:t>SDR.</w:t>
            </w:r>
          </w:p>
          <w:p w:rsidR="00F260AD" w:rsidRDefault="00F260AD" w:rsidP="00F260AD">
            <w:pPr>
              <w:pStyle w:val="ListParagraph"/>
              <w:rPr>
                <w:lang w:eastAsia="en-US"/>
              </w:rPr>
            </w:pPr>
            <w:r>
              <w:rPr>
                <w:lang w:eastAsia="en-US"/>
              </w:rPr>
              <w:t xml:space="preserve">Trades Academies – </w:t>
            </w:r>
            <w:r w:rsidRPr="008A0F65">
              <w:rPr>
                <w:lang w:eastAsia="en-US"/>
              </w:rPr>
              <w:t>Source of Funding code 24.</w:t>
            </w:r>
          </w:p>
          <w:p w:rsidR="00F260AD" w:rsidRDefault="00F260AD" w:rsidP="00F260AD">
            <w:pPr>
              <w:pStyle w:val="ListParagraph"/>
              <w:rPr>
                <w:lang w:eastAsia="en-US"/>
              </w:rPr>
            </w:pPr>
            <w:r>
              <w:rPr>
                <w:lang w:eastAsia="en-US"/>
              </w:rPr>
              <w:t xml:space="preserve">Gateway – </w:t>
            </w:r>
            <w:r w:rsidRPr="008A0F65">
              <w:rPr>
                <w:lang w:eastAsia="en-US"/>
              </w:rPr>
              <w:t>Not recorded in the SDR. Schools aren’t required to report learners undertaking Gateway learning.</w:t>
            </w:r>
          </w:p>
          <w:p w:rsidR="008A0F65" w:rsidRDefault="00F260AD" w:rsidP="00F260AD">
            <w:pPr>
              <w:pStyle w:val="ListParagraph"/>
              <w:rPr>
                <w:lang w:eastAsia="en-US"/>
              </w:rPr>
            </w:pPr>
            <w:r>
              <w:rPr>
                <w:lang w:eastAsia="en-US"/>
              </w:rPr>
              <w:t xml:space="preserve">STAR – </w:t>
            </w:r>
            <w:r w:rsidRPr="008A0F65">
              <w:rPr>
                <w:lang w:eastAsia="en-US"/>
              </w:rPr>
              <w:t xml:space="preserve">Source of </w:t>
            </w:r>
            <w:proofErr w:type="gramStart"/>
            <w:r w:rsidRPr="008A0F65">
              <w:rPr>
                <w:lang w:eastAsia="en-US"/>
              </w:rPr>
              <w:t>Funding</w:t>
            </w:r>
            <w:proofErr w:type="gramEnd"/>
            <w:r w:rsidRPr="008A0F65">
              <w:rPr>
                <w:lang w:eastAsia="en-US"/>
              </w:rPr>
              <w:t xml:space="preserve"> code 05.</w:t>
            </w:r>
          </w:p>
        </w:tc>
      </w:tr>
      <w:tr w:rsidR="008A0F65" w:rsidTr="00E40A29">
        <w:tc>
          <w:tcPr>
            <w:tcW w:w="3472" w:type="dxa"/>
            <w:shd w:val="clear" w:color="auto" w:fill="D9D9D9" w:themeFill="background1" w:themeFillShade="D9"/>
          </w:tcPr>
          <w:p w:rsidR="008A0F65" w:rsidRPr="008A0F65" w:rsidRDefault="008A0F65" w:rsidP="008A0F6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Does this study affect a learner’s fees-free eligibility or entitlement?</w:t>
            </w:r>
          </w:p>
        </w:tc>
        <w:tc>
          <w:tcPr>
            <w:tcW w:w="6942" w:type="dxa"/>
            <w:gridSpan w:val="2"/>
          </w:tcPr>
          <w:p w:rsidR="008A0F65" w:rsidRPr="008A0F65" w:rsidRDefault="008A0F65" w:rsidP="00CB61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No – the learner </w:t>
            </w:r>
            <w:r w:rsidR="00CB6136">
              <w:rPr>
                <w:lang w:eastAsia="en-US"/>
              </w:rPr>
              <w:t>will not use any</w:t>
            </w:r>
            <w:r>
              <w:rPr>
                <w:lang w:eastAsia="en-US"/>
              </w:rPr>
              <w:t xml:space="preserve"> fees-f</w:t>
            </w:r>
            <w:r w:rsidR="00CB6136">
              <w:rPr>
                <w:lang w:eastAsia="en-US"/>
              </w:rPr>
              <w:t xml:space="preserve">ree entitlement and the study will not </w:t>
            </w:r>
            <w:r>
              <w:rPr>
                <w:lang w:eastAsia="en-US"/>
              </w:rPr>
              <w:t xml:space="preserve">be included in measures of prior study for </w:t>
            </w:r>
            <w:r w:rsidR="00264583">
              <w:rPr>
                <w:lang w:eastAsia="en-US"/>
              </w:rPr>
              <w:t>eligibility</w:t>
            </w:r>
            <w:r>
              <w:rPr>
                <w:lang w:eastAsia="en-US"/>
              </w:rPr>
              <w:t xml:space="preserve"> purposes.</w:t>
            </w:r>
          </w:p>
        </w:tc>
      </w:tr>
    </w:tbl>
    <w:p w:rsidR="008A0F65" w:rsidRDefault="008A0F65" w:rsidP="008A0F65">
      <w:pPr>
        <w:pStyle w:val="Heading2"/>
      </w:pPr>
      <w:r>
        <w:t>Further explanation about a s</w:t>
      </w:r>
      <w:r w:rsidRPr="008A0F65">
        <w:t>chool learning programme</w:t>
      </w:r>
      <w:r w:rsidR="00980FFC">
        <w:t xml:space="preserve"> </w:t>
      </w:r>
    </w:p>
    <w:p w:rsidR="008A0F65" w:rsidRDefault="005C5B2F" w:rsidP="008A0F65">
      <w:r>
        <w:t>If a learner is undertaking</w:t>
      </w:r>
      <w:r w:rsidR="008A0F65">
        <w:t xml:space="preserve"> tertiary </w:t>
      </w:r>
      <w:r>
        <w:t xml:space="preserve">study arranged by their school, </w:t>
      </w:r>
      <w:r w:rsidR="008A0F65">
        <w:t>then the study is part of a ‘</w:t>
      </w:r>
      <w:r w:rsidR="008A0F65" w:rsidRPr="00333F68">
        <w:t>school learning programme</w:t>
      </w:r>
      <w:r w:rsidR="008A0F65">
        <w:t>’ regardless of whether the</w:t>
      </w:r>
      <w:r w:rsidR="00F260AD">
        <w:t xml:space="preserve"> learner is also undertaking</w:t>
      </w:r>
      <w:r w:rsidR="008A0F65">
        <w:t xml:space="preserve"> </w:t>
      </w:r>
      <w:r w:rsidR="00F260AD">
        <w:t>NCEA</w:t>
      </w:r>
      <w:r w:rsidR="008A0F65">
        <w:t xml:space="preserve"> level 3 (including </w:t>
      </w:r>
      <w:r w:rsidR="008A0F65" w:rsidRPr="00076F4A">
        <w:t>University Entrance</w:t>
      </w:r>
      <w:r w:rsidR="008A0F65">
        <w:t xml:space="preserve">), </w:t>
      </w:r>
      <w:r w:rsidR="008A0F65" w:rsidRPr="00076F4A">
        <w:t>Cambridge International</w:t>
      </w:r>
      <w:r w:rsidR="008A0F65">
        <w:t>, t</w:t>
      </w:r>
      <w:r w:rsidR="008A0F65" w:rsidRPr="00076F4A">
        <w:t>he International Baccalaureate</w:t>
      </w:r>
      <w:r w:rsidR="008A0F65">
        <w:t>, or other equivalent secondary school study.</w:t>
      </w:r>
    </w:p>
    <w:p w:rsidR="00264583" w:rsidRDefault="008A0F65" w:rsidP="00264583">
      <w:r>
        <w:t xml:space="preserve">The test is not about </w:t>
      </w:r>
      <w:r w:rsidRPr="0041111F">
        <w:rPr>
          <w:i/>
        </w:rPr>
        <w:t>how</w:t>
      </w:r>
      <w:r>
        <w:t xml:space="preserve"> the courses are funded, but whether they are part of a programme of learning undertaken as part of their schooling.</w:t>
      </w:r>
    </w:p>
    <w:p w:rsidR="00264583" w:rsidRDefault="00264583" w:rsidP="00264583">
      <w:pPr>
        <w:pStyle w:val="Heading2"/>
      </w:pPr>
      <w:r>
        <w:lastRenderedPageBreak/>
        <w:t xml:space="preserve">Courses and industry training programmes that are </w:t>
      </w:r>
      <w:r w:rsidRPr="00264583">
        <w:t>“</w:t>
      </w:r>
      <w:r w:rsidRPr="00264583">
        <w:rPr>
          <w:i/>
        </w:rPr>
        <w:t>not</w:t>
      </w:r>
      <w:r w:rsidRPr="00264583">
        <w:t xml:space="preserve"> part of a school learning programme or secondary-tertiary programme” are eligible for fees-free</w:t>
      </w:r>
    </w:p>
    <w:p w:rsidR="00264583" w:rsidRDefault="00264583" w:rsidP="008A0F65">
      <w:r>
        <w:t xml:space="preserve">So if a learner undertakes study or training that is </w:t>
      </w:r>
      <w:r w:rsidRPr="00264583">
        <w:rPr>
          <w:i/>
        </w:rPr>
        <w:t>not</w:t>
      </w:r>
      <w:r>
        <w:t xml:space="preserve"> a </w:t>
      </w:r>
      <w:r w:rsidRPr="00264583">
        <w:t>school learning programme or secondary-tertiary programme</w:t>
      </w:r>
      <w:r>
        <w:t xml:space="preserve"> (as defined above) they will start using their fees-free entitlement.</w:t>
      </w:r>
    </w:p>
    <w:sectPr w:rsidR="00264583" w:rsidSect="00E3773B">
      <w:footerReference w:type="default" r:id="rId10"/>
      <w:footerReference w:type="first" r:id="rId11"/>
      <w:pgSz w:w="11900" w:h="16840"/>
      <w:pgMar w:top="1134" w:right="851" w:bottom="851" w:left="851" w:header="284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3DA" w:rsidRDefault="00E463DA" w:rsidP="00C34D06">
      <w:pPr>
        <w:spacing w:after="0"/>
      </w:pPr>
      <w:r>
        <w:separator/>
      </w:r>
    </w:p>
  </w:endnote>
  <w:endnote w:type="continuationSeparator" w:id="0">
    <w:p w:rsidR="00E463DA" w:rsidRDefault="00E463DA" w:rsidP="00C34D06">
      <w:pPr>
        <w:spacing w:after="0"/>
      </w:pPr>
      <w:r>
        <w:continuationSeparator/>
      </w:r>
    </w:p>
  </w:endnote>
  <w:endnote w:id="1">
    <w:p w:rsidR="00F70BDA" w:rsidRPr="00C40423" w:rsidRDefault="00F70BDA" w:rsidP="00C40423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233" w:rsidRDefault="00F13233" w:rsidP="00E377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7CFF">
      <w:rPr>
        <w:rStyle w:val="PageNumber"/>
        <w:noProof/>
      </w:rPr>
      <w:t>3</w:t>
    </w:r>
    <w:r>
      <w:rPr>
        <w:rStyle w:val="PageNumber"/>
      </w:rPr>
      <w:fldChar w:fldCharType="end"/>
    </w:r>
  </w:p>
  <w:p w:rsidR="00F13233" w:rsidRDefault="00264583" w:rsidP="00E3773B">
    <w:pPr>
      <w:pStyle w:val="Footer"/>
      <w:tabs>
        <w:tab w:val="clear" w:pos="7655"/>
        <w:tab w:val="right" w:pos="9838"/>
      </w:tabs>
      <w:ind w:right="360"/>
    </w:pPr>
    <w:r w:rsidRPr="00264583">
      <w:t>Fees-free info sheet: How a school learning programme and secondary-tertiary programmes work</w:t>
    </w:r>
    <w:r w:rsidR="005C5B2F">
      <w:t xml:space="preserve"> within fees-free settings, </w:t>
    </w:r>
    <w:r w:rsidR="00C40423">
      <w:t>January 2021</w:t>
    </w:r>
    <w:r w:rsidR="00F13233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233" w:rsidRDefault="00F13233" w:rsidP="00E377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7CFF">
      <w:rPr>
        <w:rStyle w:val="PageNumber"/>
        <w:noProof/>
      </w:rPr>
      <w:t>1</w:t>
    </w:r>
    <w:r>
      <w:rPr>
        <w:rStyle w:val="PageNumber"/>
      </w:rPr>
      <w:fldChar w:fldCharType="end"/>
    </w:r>
  </w:p>
  <w:p w:rsidR="00F13233" w:rsidRDefault="00264583" w:rsidP="00E3773B">
    <w:pPr>
      <w:pStyle w:val="Footer"/>
      <w:tabs>
        <w:tab w:val="clear" w:pos="7655"/>
        <w:tab w:val="right" w:pos="9838"/>
      </w:tabs>
      <w:ind w:right="360"/>
    </w:pPr>
    <w:r w:rsidRPr="00264583">
      <w:t>Fees-free info sheet: How a school learning programme and secondary-tertiary programmes work within fees-free settings</w:t>
    </w:r>
    <w:r w:rsidR="005C5B2F">
      <w:t xml:space="preserve">, </w:t>
    </w:r>
    <w:r w:rsidR="00C40423">
      <w:t>January 2021</w:t>
    </w:r>
    <w:r w:rsidR="00F13233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3DA" w:rsidRDefault="00E463DA" w:rsidP="00C34D06">
      <w:pPr>
        <w:spacing w:after="0"/>
      </w:pPr>
      <w:r>
        <w:separator/>
      </w:r>
    </w:p>
  </w:footnote>
  <w:footnote w:type="continuationSeparator" w:id="0">
    <w:p w:rsidR="00E463DA" w:rsidRDefault="00E463DA" w:rsidP="00C34D06">
      <w:pPr>
        <w:spacing w:after="0"/>
      </w:pPr>
      <w:r>
        <w:continuationSeparator/>
      </w:r>
    </w:p>
  </w:footnote>
  <w:footnote w:id="1">
    <w:p w:rsidR="00F70BDA" w:rsidRPr="00675C88" w:rsidRDefault="00F70BDA" w:rsidP="00F70BDA">
      <w:pPr>
        <w:rPr>
          <w:lang w:eastAsia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</w:rPr>
        <w:t>An</w:t>
      </w:r>
      <w:r w:rsidRPr="003D7A49">
        <w:rPr>
          <w:sz w:val="16"/>
          <w:szCs w:val="16"/>
        </w:rPr>
        <w:t xml:space="preserve"> adult student, under the Act, is any student whose 19th birthday occurred before 1 January of the current year. This definition does not apply to students deemed to require special education under Section 37 of the Act.</w:t>
      </w:r>
    </w:p>
    <w:p w:rsidR="00F70BDA" w:rsidRPr="003D7A49" w:rsidRDefault="00F70BDA" w:rsidP="00F70BDA">
      <w:pPr>
        <w:pStyle w:val="FootnoteText"/>
        <w:rPr>
          <w:lang w:val="mi-NZ"/>
        </w:rPr>
      </w:pPr>
    </w:p>
  </w:footnote>
  <w:footnote w:id="2">
    <w:p w:rsidR="00264583" w:rsidRPr="00264583" w:rsidRDefault="0026458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80FFC">
        <w:t>Section 10, Education and Training Act 2020.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7E872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2857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8607D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34C9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1842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BC48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6000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6DEB4"/>
    <w:lvl w:ilvl="0">
      <w:start w:val="1"/>
      <w:numFmt w:val="bullet"/>
      <w:pStyle w:val="ListBullet2"/>
      <w:lvlText w:val="-"/>
      <w:lvlJc w:val="left"/>
      <w:pPr>
        <w:tabs>
          <w:tab w:val="num" w:pos="454"/>
        </w:tabs>
        <w:ind w:left="454" w:hanging="227"/>
      </w:pPr>
      <w:rPr>
        <w:rFonts w:ascii="Calibri" w:hAnsi="Calibri" w:hint="default"/>
      </w:rPr>
    </w:lvl>
  </w:abstractNum>
  <w:abstractNum w:abstractNumId="8" w15:restartNumberingAfterBreak="0">
    <w:nsid w:val="FFFFFF88"/>
    <w:multiLevelType w:val="singleLevel"/>
    <w:tmpl w:val="394A3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F32BDB4"/>
    <w:lvl w:ilvl="0">
      <w:start w:val="1"/>
      <w:numFmt w:val="bullet"/>
      <w:pStyle w:val="ListBullet"/>
      <w:lvlText w:val="›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04653547"/>
    <w:multiLevelType w:val="hybridMultilevel"/>
    <w:tmpl w:val="49D8434C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E3592C"/>
    <w:multiLevelType w:val="hybridMultilevel"/>
    <w:tmpl w:val="6D4A178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243BA3"/>
    <w:multiLevelType w:val="multilevel"/>
    <w:tmpl w:val="8DD22B56"/>
    <w:lvl w:ilvl="0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95FC7"/>
    <w:multiLevelType w:val="hybridMultilevel"/>
    <w:tmpl w:val="1AF807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C04F9"/>
    <w:multiLevelType w:val="hybridMultilevel"/>
    <w:tmpl w:val="09F0A64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BB35AA"/>
    <w:multiLevelType w:val="multilevel"/>
    <w:tmpl w:val="3E4E8C1E"/>
    <w:lvl w:ilvl="0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454" w:hanging="39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F0C25"/>
    <w:multiLevelType w:val="multilevel"/>
    <w:tmpl w:val="8410F968"/>
    <w:lvl w:ilvl="0">
      <w:start w:val="1"/>
      <w:numFmt w:val="bullet"/>
      <w:lvlText w:val="›"/>
      <w:lvlJc w:val="left"/>
      <w:pPr>
        <w:ind w:left="454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681" w:hanging="22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7" w15:restartNumberingAfterBreak="0">
    <w:nsid w:val="333D6DE2"/>
    <w:multiLevelType w:val="multilevel"/>
    <w:tmpl w:val="8DD22B56"/>
    <w:lvl w:ilvl="0">
      <w:start w:val="1"/>
      <w:numFmt w:val="bullet"/>
      <w:pStyle w:val="ListParagraph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156E6A"/>
    <w:multiLevelType w:val="hybridMultilevel"/>
    <w:tmpl w:val="DADA8C32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CE16BD5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1230F8"/>
    <w:multiLevelType w:val="hybridMultilevel"/>
    <w:tmpl w:val="CC44F28E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EE5426"/>
    <w:multiLevelType w:val="hybridMultilevel"/>
    <w:tmpl w:val="1ADE3876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357208"/>
    <w:multiLevelType w:val="hybridMultilevel"/>
    <w:tmpl w:val="B4F4717C"/>
    <w:lvl w:ilvl="0" w:tplc="1409001B">
      <w:start w:val="1"/>
      <w:numFmt w:val="lowerRoman"/>
      <w:lvlText w:val="%1."/>
      <w:lvlJc w:val="right"/>
      <w:pPr>
        <w:ind w:left="2160" w:hanging="360"/>
      </w:pPr>
    </w:lvl>
    <w:lvl w:ilvl="1" w:tplc="14090019">
      <w:start w:val="1"/>
      <w:numFmt w:val="lowerLetter"/>
      <w:lvlText w:val="%2."/>
      <w:lvlJc w:val="left"/>
      <w:pPr>
        <w:ind w:left="2880" w:hanging="360"/>
      </w:pPr>
    </w:lvl>
    <w:lvl w:ilvl="2" w:tplc="1409001B" w:tentative="1">
      <w:start w:val="1"/>
      <w:numFmt w:val="lowerRoman"/>
      <w:lvlText w:val="%3."/>
      <w:lvlJc w:val="right"/>
      <w:pPr>
        <w:ind w:left="3600" w:hanging="180"/>
      </w:pPr>
    </w:lvl>
    <w:lvl w:ilvl="3" w:tplc="1409000F" w:tentative="1">
      <w:start w:val="1"/>
      <w:numFmt w:val="decimal"/>
      <w:lvlText w:val="%4."/>
      <w:lvlJc w:val="left"/>
      <w:pPr>
        <w:ind w:left="4320" w:hanging="360"/>
      </w:pPr>
    </w:lvl>
    <w:lvl w:ilvl="4" w:tplc="14090019" w:tentative="1">
      <w:start w:val="1"/>
      <w:numFmt w:val="lowerLetter"/>
      <w:lvlText w:val="%5."/>
      <w:lvlJc w:val="left"/>
      <w:pPr>
        <w:ind w:left="5040" w:hanging="360"/>
      </w:pPr>
    </w:lvl>
    <w:lvl w:ilvl="5" w:tplc="1409001B" w:tentative="1">
      <w:start w:val="1"/>
      <w:numFmt w:val="lowerRoman"/>
      <w:lvlText w:val="%6."/>
      <w:lvlJc w:val="right"/>
      <w:pPr>
        <w:ind w:left="5760" w:hanging="180"/>
      </w:pPr>
    </w:lvl>
    <w:lvl w:ilvl="6" w:tplc="1409000F" w:tentative="1">
      <w:start w:val="1"/>
      <w:numFmt w:val="decimal"/>
      <w:lvlText w:val="%7."/>
      <w:lvlJc w:val="left"/>
      <w:pPr>
        <w:ind w:left="6480" w:hanging="360"/>
      </w:pPr>
    </w:lvl>
    <w:lvl w:ilvl="7" w:tplc="14090019" w:tentative="1">
      <w:start w:val="1"/>
      <w:numFmt w:val="lowerLetter"/>
      <w:lvlText w:val="%8."/>
      <w:lvlJc w:val="left"/>
      <w:pPr>
        <w:ind w:left="7200" w:hanging="360"/>
      </w:pPr>
    </w:lvl>
    <w:lvl w:ilvl="8" w:tplc="1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E856C87"/>
    <w:multiLevelType w:val="hybridMultilevel"/>
    <w:tmpl w:val="706C613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8496D"/>
    <w:multiLevelType w:val="multilevel"/>
    <w:tmpl w:val="79927972"/>
    <w:lvl w:ilvl="0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454" w:hanging="39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16"/>
  </w:num>
  <w:num w:numId="7">
    <w:abstractNumId w:val="12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9"/>
  </w:num>
  <w:num w:numId="20">
    <w:abstractNumId w:val="11"/>
  </w:num>
  <w:num w:numId="21">
    <w:abstractNumId w:val="22"/>
  </w:num>
  <w:num w:numId="22">
    <w:abstractNumId w:val="20"/>
  </w:num>
  <w:num w:numId="23">
    <w:abstractNumId w:val="13"/>
  </w:num>
  <w:num w:numId="24">
    <w:abstractNumId w:val="10"/>
  </w:num>
  <w:num w:numId="25">
    <w:abstractNumId w:val="1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F65"/>
    <w:rsid w:val="000207D4"/>
    <w:rsid w:val="000329DB"/>
    <w:rsid w:val="000746DE"/>
    <w:rsid w:val="000C0B90"/>
    <w:rsid w:val="000D299A"/>
    <w:rsid w:val="00177BD6"/>
    <w:rsid w:val="001A0DDC"/>
    <w:rsid w:val="001A3ED6"/>
    <w:rsid w:val="001D0A34"/>
    <w:rsid w:val="001E25E4"/>
    <w:rsid w:val="001E36AF"/>
    <w:rsid w:val="001F1B3E"/>
    <w:rsid w:val="002229A6"/>
    <w:rsid w:val="002233F5"/>
    <w:rsid w:val="002237DB"/>
    <w:rsid w:val="00233ED6"/>
    <w:rsid w:val="00264583"/>
    <w:rsid w:val="00294B85"/>
    <w:rsid w:val="002C143E"/>
    <w:rsid w:val="002E1AF2"/>
    <w:rsid w:val="003156F4"/>
    <w:rsid w:val="00352F7E"/>
    <w:rsid w:val="00361637"/>
    <w:rsid w:val="00372FE2"/>
    <w:rsid w:val="003D2B98"/>
    <w:rsid w:val="003E65DA"/>
    <w:rsid w:val="004354BD"/>
    <w:rsid w:val="004A56B3"/>
    <w:rsid w:val="004C2550"/>
    <w:rsid w:val="00505CF5"/>
    <w:rsid w:val="00507AE0"/>
    <w:rsid w:val="0051046B"/>
    <w:rsid w:val="00591625"/>
    <w:rsid w:val="005C286A"/>
    <w:rsid w:val="005C5B2F"/>
    <w:rsid w:val="005E4934"/>
    <w:rsid w:val="00601457"/>
    <w:rsid w:val="00602767"/>
    <w:rsid w:val="00623631"/>
    <w:rsid w:val="00635785"/>
    <w:rsid w:val="006729B5"/>
    <w:rsid w:val="006A4B41"/>
    <w:rsid w:val="006B66B4"/>
    <w:rsid w:val="006D12AF"/>
    <w:rsid w:val="006E269D"/>
    <w:rsid w:val="00711B94"/>
    <w:rsid w:val="00716395"/>
    <w:rsid w:val="0075558E"/>
    <w:rsid w:val="00756507"/>
    <w:rsid w:val="00766924"/>
    <w:rsid w:val="00777F75"/>
    <w:rsid w:val="00783678"/>
    <w:rsid w:val="007B04A6"/>
    <w:rsid w:val="007E3EAA"/>
    <w:rsid w:val="007F41AD"/>
    <w:rsid w:val="0083478B"/>
    <w:rsid w:val="008600DF"/>
    <w:rsid w:val="008641C5"/>
    <w:rsid w:val="00866A16"/>
    <w:rsid w:val="008A0F65"/>
    <w:rsid w:val="008B612D"/>
    <w:rsid w:val="008D2175"/>
    <w:rsid w:val="008E10E2"/>
    <w:rsid w:val="008F2FA9"/>
    <w:rsid w:val="0092659E"/>
    <w:rsid w:val="00944284"/>
    <w:rsid w:val="009454B4"/>
    <w:rsid w:val="00946A50"/>
    <w:rsid w:val="00980FFC"/>
    <w:rsid w:val="009E6BB7"/>
    <w:rsid w:val="00A2729B"/>
    <w:rsid w:val="00A82AC2"/>
    <w:rsid w:val="00A90809"/>
    <w:rsid w:val="00A91A4C"/>
    <w:rsid w:val="00A9622E"/>
    <w:rsid w:val="00AB2026"/>
    <w:rsid w:val="00AD376A"/>
    <w:rsid w:val="00B40CF9"/>
    <w:rsid w:val="00B739C9"/>
    <w:rsid w:val="00B9230A"/>
    <w:rsid w:val="00B94C93"/>
    <w:rsid w:val="00BA7199"/>
    <w:rsid w:val="00BC4CCB"/>
    <w:rsid w:val="00BE1DE5"/>
    <w:rsid w:val="00C34D06"/>
    <w:rsid w:val="00C40423"/>
    <w:rsid w:val="00C54A45"/>
    <w:rsid w:val="00C65488"/>
    <w:rsid w:val="00C67CFF"/>
    <w:rsid w:val="00C93CDE"/>
    <w:rsid w:val="00CB6136"/>
    <w:rsid w:val="00CD7B98"/>
    <w:rsid w:val="00CF1E8F"/>
    <w:rsid w:val="00D12E71"/>
    <w:rsid w:val="00D4000E"/>
    <w:rsid w:val="00D62D97"/>
    <w:rsid w:val="00E11700"/>
    <w:rsid w:val="00E3773B"/>
    <w:rsid w:val="00E37D0E"/>
    <w:rsid w:val="00E41A19"/>
    <w:rsid w:val="00E463DA"/>
    <w:rsid w:val="00E70BEA"/>
    <w:rsid w:val="00E75095"/>
    <w:rsid w:val="00E85E95"/>
    <w:rsid w:val="00E87D54"/>
    <w:rsid w:val="00EA69F7"/>
    <w:rsid w:val="00F13233"/>
    <w:rsid w:val="00F23777"/>
    <w:rsid w:val="00F260AD"/>
    <w:rsid w:val="00F3115D"/>
    <w:rsid w:val="00F347B9"/>
    <w:rsid w:val="00F35771"/>
    <w:rsid w:val="00F70BDA"/>
    <w:rsid w:val="00F84DEE"/>
    <w:rsid w:val="00FD6D54"/>
    <w:rsid w:val="00FD6E5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5:docId w15:val="{B0F81C02-5F0E-4FCA-9854-778DFF89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B90"/>
    <w:pPr>
      <w:spacing w:after="240"/>
    </w:pPr>
    <w:rPr>
      <w:sz w:val="22"/>
      <w:lang w:val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7AE0"/>
    <w:pPr>
      <w:keepNext/>
      <w:keepLines/>
      <w:spacing w:before="480"/>
      <w:outlineLvl w:val="0"/>
    </w:pPr>
    <w:rPr>
      <w:rFonts w:ascii="Georgia" w:eastAsiaTheme="majorEastAsia" w:hAnsi="Georgia" w:cstheme="majorBidi"/>
      <w:b/>
      <w:bCs/>
      <w:color w:val="FF9900"/>
      <w:sz w:val="40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7AE0"/>
    <w:pPr>
      <w:keepNext/>
      <w:keepLines/>
      <w:spacing w:before="240" w:after="120"/>
      <w:outlineLvl w:val="1"/>
    </w:pPr>
    <w:rPr>
      <w:rFonts w:ascii="Calibri" w:eastAsiaTheme="majorEastAsia" w:hAnsi="Calibri" w:cstheme="majorBidi"/>
      <w:b/>
      <w:bCs/>
      <w:color w:val="FF9900"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7AE0"/>
    <w:pPr>
      <w:keepNext/>
      <w:keepLines/>
      <w:spacing w:before="240" w:after="120"/>
      <w:outlineLvl w:val="2"/>
    </w:pPr>
    <w:rPr>
      <w:rFonts w:ascii="Calibri" w:eastAsiaTheme="majorEastAsia" w:hAnsi="Calibri" w:cstheme="majorBidi"/>
      <w:b/>
      <w:bCs/>
      <w:color w:val="343032" w:themeColor="text1"/>
      <w:sz w:val="24"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7AE0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b/>
      <w:bCs/>
      <w:i/>
      <w:iCs/>
      <w:color w:val="FF99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2D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2D9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7AE0"/>
    <w:rPr>
      <w:rFonts w:ascii="Georgia" w:eastAsiaTheme="majorEastAsia" w:hAnsi="Georgia" w:cstheme="majorBidi"/>
      <w:b/>
      <w:bCs/>
      <w:color w:val="FF9900"/>
      <w:sz w:val="40"/>
      <w:szCs w:val="32"/>
      <w:lang w:val="en-NZ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A0DDC"/>
    <w:pPr>
      <w:spacing w:line="290" w:lineRule="exact"/>
    </w:pPr>
    <w:rPr>
      <w:rFonts w:ascii="Georgia" w:eastAsia="MS Mincho" w:hAnsi="Georgia" w:cs="Times New Roman"/>
      <w:iCs/>
      <w:color w:val="343032" w:themeColor="text1"/>
      <w:sz w:val="32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A69F7"/>
    <w:pPr>
      <w:tabs>
        <w:tab w:val="center" w:pos="4320"/>
        <w:tab w:val="right" w:pos="8640"/>
      </w:tabs>
      <w:spacing w:after="0"/>
    </w:pPr>
    <w:rPr>
      <w:rFonts w:ascii="Georgia" w:hAnsi="Georgia"/>
      <w:color w:val="DA6D23" w:themeColor="accent1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EA69F7"/>
    <w:rPr>
      <w:rFonts w:ascii="Georgia" w:hAnsi="Georgia"/>
      <w:color w:val="DA6D23" w:themeColor="accent1"/>
      <w:sz w:val="16"/>
    </w:rPr>
  </w:style>
  <w:style w:type="table" w:styleId="TableGrid">
    <w:name w:val="Table Grid"/>
    <w:basedOn w:val="TableNormal"/>
    <w:uiPriority w:val="59"/>
    <w:rsid w:val="001E25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BalloonText">
    <w:name w:val="Balloon Text"/>
    <w:basedOn w:val="Normal"/>
    <w:link w:val="BalloonTextChar"/>
    <w:uiPriority w:val="99"/>
    <w:semiHidden/>
    <w:unhideWhenUsed/>
    <w:rsid w:val="00C34D0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D06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87D54"/>
    <w:pPr>
      <w:spacing w:after="0"/>
      <w:ind w:left="680"/>
    </w:pPr>
    <w:rPr>
      <w:rFonts w:ascii="Georgia" w:eastAsiaTheme="majorEastAsia" w:hAnsi="Georgia" w:cstheme="majorBidi"/>
      <w:color w:val="FFFFFF" w:themeColor="background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E87D54"/>
    <w:rPr>
      <w:rFonts w:ascii="Georgia" w:eastAsiaTheme="majorEastAsia" w:hAnsi="Georgia" w:cstheme="majorBidi"/>
      <w:color w:val="FFFFFF" w:themeColor="background1"/>
      <w:kern w:val="28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7D54"/>
    <w:pPr>
      <w:numPr>
        <w:ilvl w:val="1"/>
      </w:numPr>
      <w:spacing w:after="0"/>
      <w:ind w:left="680"/>
    </w:pPr>
    <w:rPr>
      <w:rFonts w:eastAsiaTheme="majorEastAsia" w:cstheme="majorBidi"/>
      <w:b/>
      <w:bCs/>
      <w:color w:val="FFFFFF" w:themeColor="background1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87D54"/>
    <w:rPr>
      <w:rFonts w:eastAsiaTheme="majorEastAsia" w:cstheme="majorBidi"/>
      <w:b/>
      <w:bCs/>
      <w:color w:val="FFFFFF" w:themeColor="background1"/>
    </w:rPr>
  </w:style>
  <w:style w:type="paragraph" w:styleId="Footer">
    <w:name w:val="footer"/>
    <w:basedOn w:val="Normal"/>
    <w:link w:val="FooterChar"/>
    <w:uiPriority w:val="99"/>
    <w:unhideWhenUsed/>
    <w:rsid w:val="00E87D54"/>
    <w:pPr>
      <w:tabs>
        <w:tab w:val="right" w:pos="7655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E87D54"/>
    <w:rPr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507AE0"/>
    <w:rPr>
      <w:rFonts w:ascii="Calibri" w:eastAsiaTheme="majorEastAsia" w:hAnsi="Calibri" w:cstheme="majorBidi"/>
      <w:b/>
      <w:bCs/>
      <w:color w:val="343032" w:themeColor="text1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07AE0"/>
    <w:rPr>
      <w:rFonts w:ascii="Calibri" w:eastAsiaTheme="majorEastAsia" w:hAnsi="Calibri" w:cstheme="majorBidi"/>
      <w:b/>
      <w:bCs/>
      <w:color w:val="FF9900"/>
      <w:sz w:val="28"/>
      <w:szCs w:val="26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1A0DDC"/>
    <w:rPr>
      <w:rFonts w:ascii="Georgia" w:eastAsia="MS Mincho" w:hAnsi="Georgia" w:cs="Times New Roman"/>
      <w:iCs/>
      <w:color w:val="343032" w:themeColor="text1"/>
      <w:sz w:val="32"/>
      <w:szCs w:val="20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C2550"/>
    <w:pPr>
      <w:numPr>
        <w:numId w:val="8"/>
      </w:numPr>
      <w:spacing w:after="60"/>
    </w:pPr>
  </w:style>
  <w:style w:type="character" w:styleId="Strong">
    <w:name w:val="Strong"/>
    <w:basedOn w:val="DefaultParagraphFont"/>
    <w:uiPriority w:val="22"/>
    <w:qFormat/>
    <w:rsid w:val="00233ED6"/>
    <w:rPr>
      <w:b/>
      <w:bCs/>
    </w:rPr>
  </w:style>
  <w:style w:type="character" w:styleId="Emphasis">
    <w:name w:val="Emphasis"/>
    <w:basedOn w:val="DefaultParagraphFont"/>
    <w:uiPriority w:val="20"/>
    <w:qFormat/>
    <w:rsid w:val="00233ED6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507AE0"/>
    <w:rPr>
      <w:rFonts w:asciiTheme="majorHAnsi" w:eastAsiaTheme="majorEastAsia" w:hAnsiTheme="majorHAnsi" w:cstheme="majorBidi"/>
      <w:b/>
      <w:bCs/>
      <w:i/>
      <w:iCs/>
      <w:color w:val="FF9900"/>
      <w:sz w:val="22"/>
    </w:rPr>
  </w:style>
  <w:style w:type="paragraph" w:customStyle="1" w:styleId="IntroText">
    <w:name w:val="Intro Text"/>
    <w:basedOn w:val="Normal"/>
    <w:qFormat/>
    <w:rsid w:val="005C286A"/>
    <w:pPr>
      <w:pBdr>
        <w:top w:val="dotted" w:sz="4" w:space="5" w:color="EA9922" w:themeColor="text2"/>
        <w:bottom w:val="dotted" w:sz="4" w:space="5" w:color="EA9922" w:themeColor="text2"/>
      </w:pBdr>
    </w:pPr>
    <w:rPr>
      <w:color w:val="343032" w:themeColor="text1"/>
      <w:sz w:val="28"/>
    </w:rPr>
  </w:style>
  <w:style w:type="paragraph" w:styleId="ListBullet">
    <w:name w:val="List Bullet"/>
    <w:basedOn w:val="Normal"/>
    <w:uiPriority w:val="99"/>
    <w:unhideWhenUsed/>
    <w:rsid w:val="00711B94"/>
    <w:pPr>
      <w:numPr>
        <w:numId w:val="9"/>
      </w:numPr>
    </w:pPr>
  </w:style>
  <w:style w:type="paragraph" w:styleId="ListBullet2">
    <w:name w:val="List Bullet 2"/>
    <w:basedOn w:val="Normal"/>
    <w:uiPriority w:val="99"/>
    <w:unhideWhenUsed/>
    <w:rsid w:val="00711B94"/>
    <w:pPr>
      <w:numPr>
        <w:numId w:val="10"/>
      </w:numPr>
      <w:contextualSpacing/>
    </w:pPr>
  </w:style>
  <w:style w:type="character" w:styleId="SubtleEmphasis">
    <w:name w:val="Subtle Emphasis"/>
    <w:basedOn w:val="DefaultParagraphFont"/>
    <w:uiPriority w:val="19"/>
    <w:qFormat/>
    <w:rsid w:val="001A0DDC"/>
    <w:rPr>
      <w:i/>
      <w:iCs/>
      <w:color w:val="9D9498" w:themeColor="text1" w:themeTint="7F"/>
    </w:rPr>
  </w:style>
  <w:style w:type="character" w:styleId="IntenseReference">
    <w:name w:val="Intense Reference"/>
    <w:basedOn w:val="DefaultParagraphFont"/>
    <w:uiPriority w:val="32"/>
    <w:qFormat/>
    <w:rsid w:val="003156F4"/>
    <w:rPr>
      <w:b/>
      <w:bCs/>
      <w:smallCaps/>
      <w:color w:val="EA9922" w:themeColor="tex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3156F4"/>
    <w:rPr>
      <w:smallCaps/>
      <w:color w:val="EA9922" w:themeColor="tex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56F4"/>
    <w:pPr>
      <w:pBdr>
        <w:bottom w:val="single" w:sz="4" w:space="4" w:color="DA6D23" w:themeColor="accent1"/>
      </w:pBdr>
      <w:spacing w:before="200" w:after="280"/>
      <w:ind w:left="936" w:right="936"/>
    </w:pPr>
    <w:rPr>
      <w:b/>
      <w:bCs/>
      <w:i/>
      <w:iCs/>
      <w:color w:val="EA9922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56F4"/>
    <w:rPr>
      <w:b/>
      <w:bCs/>
      <w:i/>
      <w:iCs/>
      <w:color w:val="EA9922" w:themeColor="text2"/>
      <w:sz w:val="20"/>
    </w:rPr>
  </w:style>
  <w:style w:type="character" w:styleId="IntenseEmphasis">
    <w:name w:val="Intense Emphasis"/>
    <w:basedOn w:val="DefaultParagraphFont"/>
    <w:uiPriority w:val="21"/>
    <w:qFormat/>
    <w:rsid w:val="003156F4"/>
    <w:rPr>
      <w:b/>
      <w:bCs/>
      <w:i/>
      <w:iCs/>
      <w:color w:val="EA9922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2D97"/>
    <w:rPr>
      <w:rFonts w:asciiTheme="majorHAnsi" w:eastAsiaTheme="majorEastAsia" w:hAnsiTheme="majorHAnsi" w:cstheme="majorBidi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2D97"/>
    <w:rPr>
      <w:rFonts w:asciiTheme="majorHAnsi" w:eastAsiaTheme="majorEastAsia" w:hAnsiTheme="majorHAnsi" w:cstheme="majorBidi"/>
      <w:i/>
      <w:iCs/>
      <w:sz w:val="20"/>
    </w:rPr>
  </w:style>
  <w:style w:type="paragraph" w:customStyle="1" w:styleId="Heading1Grey">
    <w:name w:val="Heading 1 Grey"/>
    <w:basedOn w:val="Heading1"/>
    <w:qFormat/>
    <w:rsid w:val="000329DB"/>
    <w:rPr>
      <w:color w:val="343032" w:themeColor="text1"/>
    </w:rPr>
  </w:style>
  <w:style w:type="character" w:styleId="PageNumber">
    <w:name w:val="page number"/>
    <w:basedOn w:val="DefaultParagraphFont"/>
    <w:uiPriority w:val="99"/>
    <w:semiHidden/>
    <w:unhideWhenUsed/>
    <w:rsid w:val="00E3773B"/>
  </w:style>
  <w:style w:type="paragraph" w:styleId="FootnoteText">
    <w:name w:val="footnote text"/>
    <w:basedOn w:val="Normal"/>
    <w:link w:val="FootnoteTextChar"/>
    <w:uiPriority w:val="99"/>
    <w:semiHidden/>
    <w:unhideWhenUsed/>
    <w:rsid w:val="008A0F6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0F6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A0F65"/>
    <w:rPr>
      <w:vertAlign w:val="superscript"/>
    </w:rPr>
  </w:style>
  <w:style w:type="paragraph" w:customStyle="1" w:styleId="Listparagraph2">
    <w:name w:val="List paragraph 2"/>
    <w:basedOn w:val="ListParagraph"/>
    <w:qFormat/>
    <w:rsid w:val="008A0F65"/>
    <w:pPr>
      <w:numPr>
        <w:numId w:val="0"/>
      </w:numPr>
      <w:spacing w:before="60" w:after="120"/>
      <w:ind w:left="993" w:hanging="426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A0F65"/>
    <w:rPr>
      <w:sz w:val="22"/>
    </w:rPr>
  </w:style>
  <w:style w:type="character" w:styleId="Hyperlink">
    <w:name w:val="Hyperlink"/>
    <w:basedOn w:val="DefaultParagraphFont"/>
    <w:uiPriority w:val="99"/>
    <w:unhideWhenUsed/>
    <w:rsid w:val="00F70BDA"/>
    <w:rPr>
      <w:color w:val="343032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70BDA"/>
    <w:pPr>
      <w:spacing w:after="0"/>
    </w:pPr>
    <w:rPr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70BD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70B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ec\dfs\apps\officetemplates\External%20Templates%20-%20Word\Simple%20Templates%20for%20short%20docs\Knowledge%20base%20-%20simple%20template.dotx" TargetMode="External"/></Relationships>
</file>

<file path=word/theme/theme1.xml><?xml version="1.0" encoding="utf-8"?>
<a:theme xmlns:a="http://schemas.openxmlformats.org/drawingml/2006/main" name="Office Theme">
  <a:themeElements>
    <a:clrScheme name="TEC">
      <a:dk1>
        <a:srgbClr val="343032"/>
      </a:dk1>
      <a:lt1>
        <a:sysClr val="window" lastClr="FFFFFF"/>
      </a:lt1>
      <a:dk2>
        <a:srgbClr val="EA9922"/>
      </a:dk2>
      <a:lt2>
        <a:srgbClr val="DBD1A9"/>
      </a:lt2>
      <a:accent1>
        <a:srgbClr val="DA6D23"/>
      </a:accent1>
      <a:accent2>
        <a:srgbClr val="CE3D20"/>
      </a:accent2>
      <a:accent3>
        <a:srgbClr val="B54F5D"/>
      </a:accent3>
      <a:accent4>
        <a:srgbClr val="A6AD33"/>
      </a:accent4>
      <a:accent5>
        <a:srgbClr val="4C91A7"/>
      </a:accent5>
      <a:accent6>
        <a:srgbClr val="54987F"/>
      </a:accent6>
      <a:hlink>
        <a:srgbClr val="343032"/>
      </a:hlink>
      <a:folHlink>
        <a:srgbClr val="808080"/>
      </a:folHlink>
    </a:clrScheme>
    <a:fontScheme name="Expo">
      <a:maj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DC4691BF00A443899034738234036697" version="1.0.0">
  <systemFields>
    <field name="Objective-Id">
      <value order="0">A1658729</value>
    </field>
    <field name="Objective-Title">
      <value order="0">2021 01 07 FF School Learning Programmes and Secondary-Tertiary Programmes</value>
    </field>
    <field name="Objective-Description">
      <value order="0"/>
    </field>
    <field name="Objective-CreationStamp">
      <value order="0">2021-01-06T20:41:43Z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2021-01-07T19:37:45Z</value>
    </field>
    <field name="Objective-Owner">
      <value order="0">Rachael Hammon</value>
    </field>
    <field name="Objective-Path">
      <value order="0">Objective Global Folder:Utility:Home:Rachael Hammon:Special Folder - Rachael Hammon:Handy - Rachael Hammon:Templates - Rachael Hammon</value>
    </field>
    <field name="Objective-Parent">
      <value order="0">Templates - Rachael Hammon</value>
    </field>
    <field name="Objective-State">
      <value order="0">Being Edited</value>
    </field>
    <field name="Objective-VersionId">
      <value order="0">vA3692874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6">
      <field name="Objective-Reference">
        <value order="0"/>
      </field>
      <field name="Objective-Date">
        <value order="0"/>
      </field>
      <field name="Objective-Action">
        <value order="0"/>
      </field>
      <field name="Objective-Responsible">
        <value order="0"/>
      </field>
      <field name="Objective-Financial Year">
        <value order="0"/>
      </field>
      <field name="Objective-Calendar Year">
        <value order="0"/>
      </field>
      <field name="Objective-EDUMIS Number">
        <value order="0"/>
      </field>
      <field name="Objective-Sub Sector">
        <value order="0"/>
      </field>
      <field name="Objective-Fund Name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C4691BF00A443899034738234036697"/>
  </ds:schemaRefs>
</ds:datastoreItem>
</file>

<file path=customXml/itemProps2.xml><?xml version="1.0" encoding="utf-8"?>
<ds:datastoreItem xmlns:ds="http://schemas.openxmlformats.org/officeDocument/2006/customXml" ds:itemID="{064D15B7-A4F9-4C42-AE13-79E023163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Knowledge base - simple template</Template>
  <TotalTime>5</TotalTime>
  <Pages>3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DNA</Company>
  <LinksUpToDate>false</LinksUpToDate>
  <CharactersWithSpaces>4635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school learning programmes and secondary-tertiary programmes fit within fees-free settings</dc:title>
  <dc:subject>Fees-free info sheet: How school learning programmes and secondary-tertiary programmes fit within fees-free settings</dc:subject>
  <dc:creator>TEC</dc:creator>
  <cp:lastModifiedBy>Carolyn Lankow</cp:lastModifiedBy>
  <cp:revision>3</cp:revision>
  <cp:lastPrinted>2019-07-02T02:05:00Z</cp:lastPrinted>
  <dcterms:created xsi:type="dcterms:W3CDTF">2021-01-07T20:11:00Z</dcterms:created>
  <dcterms:modified xsi:type="dcterms:W3CDTF">2021-01-07T20:48:00Z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A1658729</vt:lpwstr>
  </property>
  <property fmtid="{D5CDD505-2E9C-101B-9397-08002B2CF9AE}" pid="4" name="Objective-Title">
    <vt:lpwstr>2021 01 07 FF School Learning Programmes and Secondary-Tertiary Programmes</vt:lpwstr>
  </property>
  <property fmtid="{D5CDD505-2E9C-101B-9397-08002B2CF9AE}" pid="5" name="Objective-Comment">
    <vt:lpwstr/>
  </property>
  <property fmtid="{D5CDD505-2E9C-101B-9397-08002B2CF9AE}" pid="6" name="Objective-CreationStamp">
    <vt:filetime>2021-01-06T20:49:43Z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2021-01-07T19:37:45Z</vt:filetime>
  </property>
  <property fmtid="{D5CDD505-2E9C-101B-9397-08002B2CF9AE}" pid="11" name="Objective-Owner">
    <vt:lpwstr>Rachael Hammon</vt:lpwstr>
  </property>
  <property fmtid="{D5CDD505-2E9C-101B-9397-08002B2CF9AE}" pid="12" name="Objective-Path">
    <vt:lpwstr>Objective Global Folder:Utility:Home:Rachael Hammon:Special Folder - Rachael Hammon:Handy - Rachael Hammon:Templates - Rachael Hammon:</vt:lpwstr>
  </property>
  <property fmtid="{D5CDD505-2E9C-101B-9397-08002B2CF9AE}" pid="13" name="Objective-Parent">
    <vt:lpwstr>Templates - Rachael Hammon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0.3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Reference [system]">
    <vt:lpwstr/>
  </property>
  <property fmtid="{D5CDD505-2E9C-101B-9397-08002B2CF9AE}" pid="22" name="Objective-Date [system]">
    <vt:lpwstr/>
  </property>
  <property fmtid="{D5CDD505-2E9C-101B-9397-08002B2CF9AE}" pid="23" name="Objective-Action [system]">
    <vt:lpwstr/>
  </property>
  <property fmtid="{D5CDD505-2E9C-101B-9397-08002B2CF9AE}" pid="24" name="Objective-Responsible [system]">
    <vt:lpwstr/>
  </property>
  <property fmtid="{D5CDD505-2E9C-101B-9397-08002B2CF9AE}" pid="25" name="Objective-Financial Year [system]">
    <vt:lpwstr/>
  </property>
  <property fmtid="{D5CDD505-2E9C-101B-9397-08002B2CF9AE}" pid="26" name="Objective-Calendar Year [system]">
    <vt:lpwstr/>
  </property>
  <property fmtid="{D5CDD505-2E9C-101B-9397-08002B2CF9AE}" pid="27" name="Objective-EDUMIS Number [system]">
    <vt:lpwstr/>
  </property>
  <property fmtid="{D5CDD505-2E9C-101B-9397-08002B2CF9AE}" pid="28" name="Objective-Sub Sector [system]">
    <vt:lpwstr/>
  </property>
  <property fmtid="{D5CDD505-2E9C-101B-9397-08002B2CF9AE}" pid="29" name="Objective-Fund Name [system]">
    <vt:lpwstr/>
  </property>
  <property fmtid="{D5CDD505-2E9C-101B-9397-08002B2CF9AE}" pid="30" name="Objective-Description">
    <vt:lpwstr/>
  </property>
  <property fmtid="{D5CDD505-2E9C-101B-9397-08002B2CF9AE}" pid="31" name="Objective-VersionId">
    <vt:lpwstr>vA3692874</vt:lpwstr>
  </property>
  <property fmtid="{D5CDD505-2E9C-101B-9397-08002B2CF9AE}" pid="32" name="Objective-Fund Name">
    <vt:lpwstr/>
  </property>
  <property fmtid="{D5CDD505-2E9C-101B-9397-08002B2CF9AE}" pid="33" name="Objective-Sub Sector">
    <vt:lpwstr/>
  </property>
  <property fmtid="{D5CDD505-2E9C-101B-9397-08002B2CF9AE}" pid="34" name="Objective-Reference">
    <vt:lpwstr/>
  </property>
  <property fmtid="{D5CDD505-2E9C-101B-9397-08002B2CF9AE}" pid="35" name="Objective-Financial Year">
    <vt:lpwstr/>
  </property>
  <property fmtid="{D5CDD505-2E9C-101B-9397-08002B2CF9AE}" pid="36" name="Objective-EDUMIS Number">
    <vt:lpwstr/>
  </property>
  <property fmtid="{D5CDD505-2E9C-101B-9397-08002B2CF9AE}" pid="37" name="Objective-Action">
    <vt:lpwstr/>
  </property>
  <property fmtid="{D5CDD505-2E9C-101B-9397-08002B2CF9AE}" pid="38" name="Objective-Calendar Year">
    <vt:lpwstr/>
  </property>
  <property fmtid="{D5CDD505-2E9C-101B-9397-08002B2CF9AE}" pid="39" name="Objective-Date">
    <vt:lpwstr/>
  </property>
  <property fmtid="{D5CDD505-2E9C-101B-9397-08002B2CF9AE}" pid="40" name="Objective-Responsible">
    <vt:lpwstr/>
  </property>
  <property fmtid="{D5CDD505-2E9C-101B-9397-08002B2CF9AE}" pid="41" name="Objective-Connect Creator">
    <vt:lpwstr/>
  </property>
</Properties>
</file>